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5</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2104585</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 xml:space="preserve">May </w:t>
      </w:r>
      <w:r>
        <w:rPr>
          <w:rFonts w:hint="eastAsia" w:ascii="Arial" w:hAnsi="Arial"/>
          <w:b/>
          <w:sz w:val="22"/>
          <w:lang w:eastAsia="ja-JP"/>
        </w:rPr>
        <w:t>1</w:t>
      </w:r>
      <w:r>
        <w:rPr>
          <w:rFonts w:ascii="Arial" w:hAnsi="Arial"/>
          <w:b/>
          <w:sz w:val="22"/>
          <w:lang w:eastAsia="ja-JP"/>
        </w:rPr>
        <w:t>0</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w:t>
      </w:r>
      <w:r>
        <w:rPr>
          <w:rFonts w:hint="eastAsia" w:ascii="Arial" w:hAnsi="Arial" w:eastAsia="宋体"/>
          <w:b/>
          <w:sz w:val="22"/>
        </w:rPr>
        <w:t>27</w:t>
      </w:r>
      <w:r>
        <w:rPr>
          <w:rFonts w:hint="eastAsia" w:ascii="Arial" w:hAnsi="Arial"/>
          <w:b/>
          <w:sz w:val="22"/>
          <w:vertAlign w:val="superscript"/>
        </w:rPr>
        <w:t>th</w:t>
      </w:r>
      <w:r>
        <w:rPr>
          <w:rFonts w:hint="eastAsia" w:ascii="Arial" w:hAnsi="Arial"/>
          <w:b/>
          <w:sz w:val="22"/>
          <w:lang w:eastAsia="ja-JP"/>
        </w:rPr>
        <w:t>, 202</w:t>
      </w:r>
      <w:r>
        <w:rPr>
          <w:rFonts w:hint="eastAsia" w:ascii="Arial" w:hAnsi="Arial" w:eastAsia="宋体"/>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Multi-beam Operation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5"/>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p>
    <w:p>
      <w:pPr>
        <w:snapToGrid w:val="0"/>
        <w:spacing w:before="120" w:after="120" w:afterLines="50" w:line="300" w:lineRule="auto"/>
        <w:jc w:val="both"/>
        <w:rPr>
          <w:rFonts w:eastAsia="微软雅黑"/>
          <w:szCs w:val="20"/>
        </w:rPr>
      </w:pPr>
      <w:r>
        <w:rPr>
          <w:rFonts w:hint="eastAsia" w:eastAsia="微软雅黑"/>
          <w:szCs w:val="20"/>
          <w:lang w:val="en-GB"/>
        </w:rPr>
        <w:t>I</w:t>
      </w:r>
      <w:r>
        <w:rPr>
          <w:rFonts w:eastAsia="微软雅黑"/>
          <w:szCs w:val="20"/>
          <w:lang w:val="en-GB"/>
        </w:rPr>
        <w:t>n RAN</w:t>
      </w:r>
      <w:r>
        <w:rPr>
          <w:rFonts w:hint="eastAsia" w:eastAsia="微软雅黑"/>
          <w:szCs w:val="20"/>
        </w:rPr>
        <w:t>1</w:t>
      </w:r>
      <w:r>
        <w:rPr>
          <w:rFonts w:eastAsia="微软雅黑"/>
          <w:szCs w:val="20"/>
          <w:lang w:val="en-GB"/>
        </w:rPr>
        <w:t>#</w:t>
      </w:r>
      <w:r>
        <w:rPr>
          <w:rFonts w:hint="eastAsia" w:eastAsia="微软雅黑"/>
          <w:szCs w:val="20"/>
        </w:rPr>
        <w:t>104b</w:t>
      </w:r>
      <w:r>
        <w:rPr>
          <w:rFonts w:eastAsia="微软雅黑"/>
          <w:szCs w:val="20"/>
        </w:rPr>
        <w:t>-</w:t>
      </w:r>
      <w:r>
        <w:rPr>
          <w:rFonts w:hint="eastAsia" w:eastAsia="微软雅黑"/>
          <w:szCs w:val="20"/>
        </w:rPr>
        <w:t>e</w:t>
      </w:r>
      <w:r>
        <w:rPr>
          <w:rFonts w:eastAsia="微软雅黑"/>
          <w:szCs w:val="20"/>
          <w:lang w:val="en-GB"/>
        </w:rPr>
        <w:t xml:space="preserve">, </w:t>
      </w:r>
      <w:r>
        <w:rPr>
          <w:rFonts w:hint="eastAsia" w:eastAsia="微软雅黑"/>
          <w:szCs w:val="20"/>
        </w:rPr>
        <w:t xml:space="preserve">enhancements on </w:t>
      </w:r>
      <w:r>
        <w:rPr>
          <w:rFonts w:hint="eastAsia" w:eastAsia="宋体"/>
        </w:rPr>
        <w:t>mu</w:t>
      </w:r>
      <w:r>
        <w:rPr>
          <w:rFonts w:eastAsia="宋体"/>
        </w:rPr>
        <w:t>l</w:t>
      </w:r>
      <w:r>
        <w:rPr>
          <w:rFonts w:hint="eastAsia" w:eastAsia="宋体"/>
        </w:rPr>
        <w:t>ti-beam operation were discussed and agreements</w:t>
      </w:r>
      <w:r>
        <w:rPr>
          <w:rFonts w:eastAsia="宋体"/>
        </w:rPr>
        <w:t xml:space="preserve"> </w:t>
      </w:r>
      <w:r>
        <w:rPr>
          <w:rFonts w:hint="eastAsia" w:eastAsia="宋体"/>
        </w:rPr>
        <w:t xml:space="preserve">[1] were reached on </w:t>
      </w:r>
      <w:r>
        <w:rPr>
          <w:rFonts w:cs="Times"/>
          <w:szCs w:val="20"/>
        </w:rPr>
        <w:t>unified TCI framework</w:t>
      </w:r>
      <w:r>
        <w:rPr>
          <w:rFonts w:hint="eastAsia" w:eastAsia="宋体" w:cs="Times"/>
          <w:szCs w:val="20"/>
        </w:rPr>
        <w:t xml:space="preserve">, </w:t>
      </w:r>
      <w:r>
        <w:rPr>
          <w:rFonts w:cs="Times"/>
          <w:szCs w:val="20"/>
        </w:rPr>
        <w:t>L1/L2-centric inter-cell mobility, UL fast panel selection</w:t>
      </w:r>
      <w:r>
        <w:rPr>
          <w:rFonts w:hint="eastAsia" w:eastAsia="宋体" w:cs="Times"/>
          <w:szCs w:val="20"/>
        </w:rPr>
        <w:t xml:space="preserve"> and </w:t>
      </w:r>
      <w:r>
        <w:rPr>
          <w:rFonts w:cs="Times"/>
          <w:szCs w:val="20"/>
        </w:rPr>
        <w:t xml:space="preserve">enhancement </w:t>
      </w:r>
      <w:r>
        <w:rPr>
          <w:rFonts w:hint="eastAsia" w:eastAsia="宋体" w:cs="Times"/>
          <w:szCs w:val="20"/>
        </w:rPr>
        <w:t xml:space="preserve">related to </w:t>
      </w:r>
      <w:r>
        <w:rPr>
          <w:rFonts w:cs="Times"/>
          <w:szCs w:val="20"/>
        </w:rPr>
        <w:t>MP-UE</w:t>
      </w:r>
      <w:r>
        <w:rPr>
          <w:rFonts w:hint="eastAsia" w:eastAsia="宋体" w:cs="Times"/>
          <w:szCs w:val="20"/>
        </w:rPr>
        <w:t xml:space="preserve">. </w:t>
      </w:r>
      <w:r>
        <w:rPr>
          <w:rFonts w:hint="eastAsia" w:eastAsia="微软雅黑"/>
          <w:szCs w:val="20"/>
          <w:lang w:val="en-GB"/>
        </w:rPr>
        <w:t xml:space="preserve">In this contribution, </w:t>
      </w:r>
      <w:r>
        <w:rPr>
          <w:rFonts w:hint="eastAsia" w:eastAsia="微软雅黑"/>
          <w:szCs w:val="20"/>
        </w:rPr>
        <w:t xml:space="preserve">we </w:t>
      </w:r>
      <w:r>
        <w:rPr>
          <w:rFonts w:eastAsia="微软雅黑"/>
          <w:szCs w:val="20"/>
        </w:rPr>
        <w:t>analyze</w:t>
      </w:r>
      <w:r>
        <w:rPr>
          <w:rFonts w:hint="eastAsia" w:eastAsia="微软雅黑"/>
          <w:szCs w:val="20"/>
        </w:rPr>
        <w:t xml:space="preserve"> further details and provide </w:t>
      </w:r>
      <w:r>
        <w:rPr>
          <w:rFonts w:eastAsia="微软雅黑"/>
          <w:szCs w:val="20"/>
          <w:lang w:val="en-GB"/>
        </w:rPr>
        <w:t xml:space="preserve">our views </w:t>
      </w:r>
      <w:r>
        <w:rPr>
          <w:rFonts w:hint="eastAsia" w:eastAsia="微软雅黑"/>
          <w:szCs w:val="20"/>
        </w:rPr>
        <w:t>on these topics.</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efficient DL/UL beam management</w:t>
      </w:r>
    </w:p>
    <w:p>
      <w:pPr>
        <w:numPr>
          <w:ilvl w:val="1"/>
          <w:numId w:val="5"/>
        </w:numPr>
        <w:tabs>
          <w:tab w:val="clear" w:pos="576"/>
        </w:tabs>
        <w:snapToGrid w:val="0"/>
        <w:spacing w:before="240" w:after="120" w:afterLines="50" w:line="240" w:lineRule="auto"/>
        <w:ind w:left="567" w:hanging="567"/>
        <w:jc w:val="both"/>
        <w:outlineLvl w:val="1"/>
        <w:rPr>
          <w:rFonts w:eastAsia="宋体"/>
          <w:b/>
          <w:sz w:val="24"/>
          <w:szCs w:val="20"/>
        </w:rPr>
      </w:pPr>
      <w:r>
        <w:rPr>
          <w:rFonts w:eastAsia="宋体"/>
          <w:b/>
          <w:sz w:val="24"/>
          <w:szCs w:val="20"/>
        </w:rPr>
        <w:t>Unified TCI framework for both DL and UL</w:t>
      </w:r>
    </w:p>
    <w:p>
      <w:pPr>
        <w:snapToGrid w:val="0"/>
        <w:spacing w:before="120" w:after="120" w:afterLines="50" w:line="300" w:lineRule="auto"/>
        <w:jc w:val="both"/>
        <w:rPr>
          <w:rFonts w:eastAsia="微软雅黑"/>
          <w:szCs w:val="20"/>
        </w:rPr>
      </w:pPr>
      <w:r>
        <w:rPr>
          <w:rFonts w:hint="eastAsia" w:eastAsia="微软雅黑"/>
          <w:szCs w:val="20"/>
          <w:lang w:val="en-GB"/>
        </w:rPr>
        <w:t xml:space="preserve">The objective of unified TCI framework is to achieve a flexible beam </w:t>
      </w:r>
      <w:r>
        <w:rPr>
          <w:rFonts w:eastAsia="微软雅黑"/>
          <w:szCs w:val="20"/>
          <w:lang w:val="en-GB"/>
        </w:rPr>
        <w:t>update</w:t>
      </w:r>
      <w:r>
        <w:rPr>
          <w:rFonts w:hint="eastAsia" w:eastAsia="微软雅黑"/>
          <w:szCs w:val="20"/>
          <w:lang w:val="en-GB"/>
        </w:rPr>
        <w:t xml:space="preserve"> scheme for DL</w:t>
      </w:r>
      <w:r>
        <w:rPr>
          <w:rFonts w:eastAsia="微软雅黑"/>
          <w:szCs w:val="20"/>
          <w:lang w:val="en-GB"/>
        </w:rPr>
        <w:t xml:space="preserve">/UL data and control transmission/reception </w:t>
      </w:r>
      <w:r>
        <w:rPr>
          <w:rFonts w:hint="eastAsia" w:eastAsia="微软雅黑"/>
          <w:szCs w:val="20"/>
          <w:lang w:val="en-GB"/>
        </w:rPr>
        <w:t xml:space="preserve">with low </w:t>
      </w:r>
      <w:r>
        <w:rPr>
          <w:rFonts w:eastAsia="微软雅黑"/>
          <w:szCs w:val="20"/>
          <w:lang w:val="en-GB"/>
        </w:rPr>
        <w:t>signalling</w:t>
      </w:r>
      <w:r>
        <w:rPr>
          <w:rFonts w:hint="eastAsia" w:eastAsia="微软雅黑"/>
          <w:szCs w:val="20"/>
          <w:lang w:val="en-GB"/>
        </w:rPr>
        <w:t xml:space="preserve"> overhead and latency.</w:t>
      </w:r>
      <w:r>
        <w:rPr>
          <w:rFonts w:eastAsia="微软雅黑"/>
          <w:szCs w:val="20"/>
          <w:lang w:val="en-GB"/>
        </w:rPr>
        <w:t xml:space="preserve"> </w:t>
      </w:r>
      <w:r>
        <w:rPr>
          <w:rFonts w:hint="eastAsia" w:eastAsia="微软雅黑"/>
          <w:szCs w:val="20"/>
        </w:rPr>
        <w:t xml:space="preserve">The at least one source RS of a TCI state provide a reference for determining QCL </w:t>
      </w:r>
      <w:r>
        <w:rPr>
          <w:rFonts w:eastAsia="微软雅黑"/>
          <w:szCs w:val="20"/>
        </w:rPr>
        <w:t xml:space="preserve">assumption </w:t>
      </w:r>
      <w:r>
        <w:rPr>
          <w:rFonts w:hint="eastAsia" w:eastAsia="微软雅黑"/>
          <w:szCs w:val="20"/>
        </w:rPr>
        <w:t xml:space="preserve">and/or spatial filter. </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eastAsia="宋体"/>
          <w:b/>
          <w:bCs/>
          <w:sz w:val="21"/>
          <w:szCs w:val="21"/>
        </w:rPr>
        <w:t xml:space="preserve">Configuration framework for unified TCI </w:t>
      </w:r>
    </w:p>
    <w:p>
      <w:pPr>
        <w:snapToGrid w:val="0"/>
        <w:spacing w:before="120" w:after="120" w:afterLines="50" w:line="300" w:lineRule="auto"/>
        <w:jc w:val="both"/>
        <w:rPr>
          <w:rFonts w:eastAsia="微软雅黑"/>
          <w:szCs w:val="20"/>
        </w:rPr>
      </w:pPr>
      <w:r>
        <w:rPr>
          <w:rFonts w:eastAsia="微软雅黑"/>
          <w:szCs w:val="20"/>
        </w:rPr>
        <w:t xml:space="preserve">In </w:t>
      </w:r>
      <w:r>
        <w:rPr>
          <w:rFonts w:hint="eastAsia" w:eastAsia="微软雅黑"/>
          <w:szCs w:val="20"/>
        </w:rPr>
        <w:t>previous</w:t>
      </w:r>
      <w:r>
        <w:rPr>
          <w:rFonts w:eastAsia="微软雅黑"/>
          <w:szCs w:val="20"/>
        </w:rPr>
        <w:t xml:space="preserve"> </w:t>
      </w:r>
      <w:r>
        <w:rPr>
          <w:rFonts w:hint="eastAsia" w:eastAsia="微软雅黑"/>
          <w:szCs w:val="20"/>
        </w:rPr>
        <w:t xml:space="preserve">RAN1 </w:t>
      </w:r>
      <w:r>
        <w:rPr>
          <w:rFonts w:eastAsia="微软雅黑"/>
          <w:szCs w:val="20"/>
        </w:rPr>
        <w:t>meeting</w:t>
      </w:r>
      <w:r>
        <w:rPr>
          <w:rFonts w:hint="eastAsia" w:eastAsia="微软雅黑"/>
          <w:szCs w:val="20"/>
        </w:rPr>
        <w:t>s</w:t>
      </w:r>
      <w:r>
        <w:rPr>
          <w:rFonts w:eastAsia="微软雅黑"/>
          <w:szCs w:val="20"/>
        </w:rPr>
        <w:t xml:space="preserve">, it </w:t>
      </w:r>
      <w:r>
        <w:rPr>
          <w:rFonts w:hint="eastAsia" w:eastAsia="微软雅黑"/>
          <w:szCs w:val="20"/>
        </w:rPr>
        <w:t>was</w:t>
      </w:r>
      <w:r>
        <w:rPr>
          <w:rFonts w:eastAsia="微软雅黑"/>
          <w:szCs w:val="20"/>
        </w:rPr>
        <w:t xml:space="preserve"> agreed that both joint and separate TCI state indication </w:t>
      </w:r>
      <w:r>
        <w:rPr>
          <w:rFonts w:hint="eastAsia" w:eastAsia="微软雅黑"/>
          <w:szCs w:val="20"/>
        </w:rPr>
        <w:t xml:space="preserve">schemes are </w:t>
      </w:r>
      <w:r>
        <w:rPr>
          <w:rFonts w:eastAsia="微软雅黑"/>
          <w:szCs w:val="20"/>
        </w:rPr>
        <w:t xml:space="preserve">supported in Rel-17. Meanwhile, the common RRC </w:t>
      </w:r>
      <w:r>
        <w:rPr>
          <w:rFonts w:hint="eastAsia" w:eastAsia="微软雅黑"/>
          <w:szCs w:val="20"/>
        </w:rPr>
        <w:t xml:space="preserve">configured TCI state </w:t>
      </w:r>
      <w:r>
        <w:rPr>
          <w:rFonts w:eastAsia="微软雅黑"/>
          <w:szCs w:val="20"/>
        </w:rPr>
        <w:t xml:space="preserve">pool for joint </w:t>
      </w:r>
      <w:r>
        <w:rPr>
          <w:rFonts w:hint="eastAsia" w:eastAsia="微软雅黑"/>
          <w:szCs w:val="20"/>
        </w:rPr>
        <w:t xml:space="preserve">TCI state </w:t>
      </w:r>
      <w:r>
        <w:rPr>
          <w:rFonts w:eastAsia="微软雅黑"/>
          <w:szCs w:val="20"/>
        </w:rPr>
        <w:t xml:space="preserve">indication has been agreed. </w:t>
      </w:r>
      <w:r>
        <w:rPr>
          <w:rFonts w:hint="eastAsia" w:eastAsia="微软雅黑"/>
          <w:szCs w:val="20"/>
        </w:rPr>
        <w:t xml:space="preserve">And it is straightforward to support </w:t>
      </w:r>
      <w:r>
        <w:rPr>
          <w:rFonts w:eastAsia="微软雅黑"/>
          <w:szCs w:val="20"/>
        </w:rPr>
        <w:t xml:space="preserve">a common TCI state set activated in </w:t>
      </w:r>
      <w:r>
        <w:rPr>
          <w:rFonts w:hint="eastAsia" w:eastAsia="微软雅黑"/>
          <w:szCs w:val="20"/>
        </w:rPr>
        <w:t xml:space="preserve">a </w:t>
      </w:r>
      <w:r>
        <w:rPr>
          <w:rFonts w:eastAsia="微软雅黑"/>
          <w:szCs w:val="20"/>
        </w:rPr>
        <w:t>MAC CE for joint TCI state indication scheme</w:t>
      </w:r>
      <w:r>
        <w:rPr>
          <w:rFonts w:hint="eastAsia" w:eastAsia="微软雅黑"/>
          <w:szCs w:val="20"/>
        </w:rPr>
        <w:t xml:space="preserve">. </w:t>
      </w:r>
    </w:p>
    <w:p>
      <w:pPr>
        <w:snapToGrid w:val="0"/>
        <w:spacing w:before="120" w:after="120" w:afterLines="50" w:line="300" w:lineRule="auto"/>
        <w:jc w:val="both"/>
        <w:rPr>
          <w:rFonts w:eastAsia="微软雅黑"/>
          <w:szCs w:val="20"/>
        </w:rPr>
      </w:pPr>
      <w:r>
        <w:rPr>
          <w:rFonts w:eastAsia="微软雅黑"/>
          <w:szCs w:val="20"/>
        </w:rPr>
        <w:t>But, for separate DL and UL TCI state indication</w:t>
      </w:r>
      <w:r>
        <w:rPr>
          <w:rFonts w:hint="eastAsia" w:eastAsia="微软雅黑"/>
          <w:szCs w:val="20"/>
        </w:rPr>
        <w:t>,</w:t>
      </w:r>
      <w:r>
        <w:rPr>
          <w:rFonts w:eastAsia="微软雅黑"/>
          <w:szCs w:val="20"/>
        </w:rPr>
        <w:t xml:space="preserve"> </w:t>
      </w:r>
      <w:r>
        <w:rPr>
          <w:rFonts w:hint="eastAsia" w:eastAsia="微软雅黑"/>
          <w:szCs w:val="20"/>
        </w:rPr>
        <w:t>whether a common or a separate RRC TCI state pool</w:t>
      </w:r>
      <w:r>
        <w:rPr>
          <w:rFonts w:eastAsia="微软雅黑"/>
          <w:szCs w:val="20"/>
        </w:rPr>
        <w:t xml:space="preserve"> </w:t>
      </w:r>
      <w:r>
        <w:rPr>
          <w:rFonts w:hint="eastAsia" w:eastAsia="微软雅黑"/>
          <w:szCs w:val="20"/>
        </w:rPr>
        <w:t xml:space="preserve">should be adopted </w:t>
      </w:r>
      <w:r>
        <w:rPr>
          <w:rFonts w:eastAsia="微软雅黑"/>
          <w:szCs w:val="20"/>
        </w:rPr>
        <w:t>is still FFS.</w:t>
      </w:r>
      <w:r>
        <w:rPr>
          <w:rFonts w:hint="eastAsia" w:eastAsia="微软雅黑"/>
          <w:szCs w:val="20"/>
        </w:rPr>
        <w:t xml:space="preserve"> Besides, whether a common or a separate TCI state sets activated in MAC CE is also FFS.</w:t>
      </w:r>
    </w:p>
    <w:p>
      <w:pPr>
        <w:numPr>
          <w:ilvl w:val="0"/>
          <w:numId w:val="6"/>
        </w:numPr>
        <w:snapToGrid w:val="0"/>
        <w:spacing w:before="120" w:after="120" w:afterLines="50" w:line="300" w:lineRule="auto"/>
        <w:jc w:val="both"/>
        <w:rPr>
          <w:rFonts w:eastAsia="微软雅黑"/>
          <w:szCs w:val="20"/>
        </w:rPr>
      </w:pPr>
      <w:r>
        <w:rPr>
          <w:rFonts w:eastAsia="微软雅黑"/>
          <w:szCs w:val="20"/>
        </w:rPr>
        <w:t>Regarding RRC configured TCI state pool</w:t>
      </w:r>
      <w:r>
        <w:rPr>
          <w:rFonts w:hint="eastAsia" w:eastAsia="微软雅黑"/>
          <w:szCs w:val="20"/>
        </w:rPr>
        <w:t xml:space="preserve"> for </w:t>
      </w:r>
      <w:r>
        <w:rPr>
          <w:rFonts w:eastAsia="微软雅黑"/>
          <w:szCs w:val="20"/>
        </w:rPr>
        <w:t>separate DL and UL TCI state indication scheme, we suggest a common RRC configured TCI state pool</w:t>
      </w:r>
      <w:r>
        <w:rPr>
          <w:rFonts w:hint="eastAsia" w:eastAsia="微软雅黑"/>
          <w:szCs w:val="20"/>
        </w:rPr>
        <w:t xml:space="preserve">. Because </w:t>
      </w:r>
      <w:r>
        <w:rPr>
          <w:rFonts w:eastAsia="微软雅黑"/>
          <w:szCs w:val="20"/>
        </w:rPr>
        <w:t xml:space="preserve">if </w:t>
      </w:r>
      <w:r>
        <w:rPr>
          <w:rFonts w:hint="eastAsia" w:eastAsia="微软雅黑"/>
          <w:szCs w:val="20"/>
        </w:rPr>
        <w:t>there are</w:t>
      </w:r>
      <w:r>
        <w:rPr>
          <w:rFonts w:eastAsia="微软雅黑"/>
          <w:szCs w:val="20"/>
        </w:rPr>
        <w:t xml:space="preserve"> two separate pools for DL and UL TCI state indication, a total independent configuration for UL TCI state (related to all candidate UL beam</w:t>
      </w:r>
      <w:r>
        <w:rPr>
          <w:rFonts w:hint="eastAsia" w:eastAsia="微软雅黑"/>
          <w:szCs w:val="20"/>
        </w:rPr>
        <w:t>s</w:t>
      </w:r>
      <w:r>
        <w:rPr>
          <w:rFonts w:eastAsia="微软雅黑"/>
          <w:szCs w:val="20"/>
        </w:rPr>
        <w:t xml:space="preserve">, e.g., up to 64 states) is needed, like Rel-15/16 </w:t>
      </w:r>
      <w:r>
        <w:rPr>
          <w:rFonts w:eastAsia="微软雅黑"/>
          <w:i/>
          <w:iCs/>
          <w:szCs w:val="20"/>
        </w:rPr>
        <w:t xml:space="preserve">spatialRelationInfo </w:t>
      </w:r>
      <w:r>
        <w:rPr>
          <w:rFonts w:eastAsia="微软雅黑"/>
          <w:szCs w:val="20"/>
        </w:rPr>
        <w:t xml:space="preserve">configuration. It </w:t>
      </w:r>
      <w:r>
        <w:rPr>
          <w:rFonts w:hint="eastAsia" w:eastAsia="微软雅黑"/>
          <w:szCs w:val="20"/>
        </w:rPr>
        <w:t xml:space="preserve">may cause a huge </w:t>
      </w:r>
      <w:r>
        <w:rPr>
          <w:rFonts w:eastAsia="微软雅黑"/>
          <w:szCs w:val="20"/>
        </w:rPr>
        <w:t>RRC overhead and redundan</w:t>
      </w:r>
      <w:r>
        <w:rPr>
          <w:rFonts w:hint="eastAsia" w:eastAsia="微软雅黑"/>
          <w:szCs w:val="20"/>
        </w:rPr>
        <w:t>cy</w:t>
      </w:r>
      <w:r>
        <w:rPr>
          <w:rFonts w:eastAsia="微软雅黑"/>
          <w:szCs w:val="20"/>
        </w:rPr>
        <w:t xml:space="preserve"> while considering DL TCI state configuration. </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As for MAC CE activated TCI state set for separate DL and UL TCI state indication scheme, it seems that </w:t>
      </w:r>
      <w:r>
        <w:rPr>
          <w:rFonts w:eastAsia="微软雅黑"/>
          <w:szCs w:val="20"/>
        </w:rPr>
        <w:t xml:space="preserve">a single common TCI </w:t>
      </w:r>
      <w:r>
        <w:rPr>
          <w:rFonts w:hint="eastAsia" w:eastAsia="微软雅黑"/>
          <w:szCs w:val="20"/>
        </w:rPr>
        <w:t xml:space="preserve">state set </w:t>
      </w:r>
      <w:r>
        <w:rPr>
          <w:rFonts w:eastAsia="微软雅黑"/>
          <w:szCs w:val="20"/>
        </w:rPr>
        <w:t xml:space="preserve">in MAC-CE is also sufficient, like reusing the TCI state pool activated for PDSCH by MAC CE. </w:t>
      </w:r>
    </w:p>
    <w:p>
      <w:pPr>
        <w:numPr>
          <w:ilvl w:val="1"/>
          <w:numId w:val="6"/>
        </w:numPr>
        <w:snapToGrid w:val="0"/>
        <w:spacing w:before="120" w:after="120" w:afterLines="50" w:line="300" w:lineRule="auto"/>
        <w:jc w:val="both"/>
        <w:rPr>
          <w:rFonts w:eastAsia="微软雅黑"/>
          <w:szCs w:val="20"/>
        </w:rPr>
      </w:pPr>
      <w:r>
        <w:rPr>
          <w:rFonts w:hint="eastAsia" w:eastAsia="微软雅黑"/>
          <w:szCs w:val="20"/>
        </w:rPr>
        <w:t>A common TCI state set</w:t>
      </w:r>
      <w:r>
        <w:rPr>
          <w:rFonts w:eastAsia="微软雅黑"/>
          <w:szCs w:val="20"/>
        </w:rPr>
        <w:t xml:space="preserve"> in MAC-CE</w:t>
      </w:r>
      <w:r>
        <w:rPr>
          <w:rFonts w:hint="eastAsia" w:eastAsia="微软雅黑"/>
          <w:szCs w:val="20"/>
        </w:rPr>
        <w:t xml:space="preserve"> can comprise at least one TCI state without specifying for DL or UL. In this case, DCI which indicates the TCI state (codepoint) would further indicate the mode for DL or UL. It may be suitable for a DCI without DL assignment and can provide more flexibility. </w:t>
      </w:r>
      <w:r>
        <w:rPr>
          <w:rFonts w:eastAsia="微软雅黑"/>
          <w:szCs w:val="20"/>
        </w:rPr>
        <w:t>Meanwhile, for DCI with DL assignment, the highest bit of 3-bit TCI field can be used for indicating the mode for DL or UL, and the rest 2-bit is to indicate a TCI state (codepoint).</w:t>
      </w:r>
    </w:p>
    <w:p>
      <w:pPr>
        <w:numPr>
          <w:ilvl w:val="1"/>
          <w:numId w:val="6"/>
        </w:numPr>
        <w:snapToGrid w:val="0"/>
        <w:spacing w:before="120" w:after="120" w:afterLines="50" w:line="300" w:lineRule="auto"/>
        <w:jc w:val="both"/>
        <w:rPr>
          <w:rFonts w:eastAsia="微软雅黑"/>
          <w:szCs w:val="20"/>
        </w:rPr>
      </w:pPr>
      <w:r>
        <w:rPr>
          <w:rFonts w:hint="eastAsia" w:eastAsia="微软雅黑"/>
          <w:szCs w:val="20"/>
        </w:rPr>
        <w:t>Alternatively, a common TCI state set can comprise at least one TCI state with specifying for DL or UL, which means DL TCI state and UL TCI state are in the same set.</w:t>
      </w:r>
      <w:r>
        <w:rPr>
          <w:rFonts w:eastAsia="微软雅黑"/>
          <w:szCs w:val="20"/>
        </w:rPr>
        <w:t xml:space="preserve"> In such case, i</w:t>
      </w:r>
      <w:r>
        <w:rPr>
          <w:rFonts w:hint="eastAsia" w:eastAsia="微软雅黑"/>
          <w:szCs w:val="20"/>
        </w:rPr>
        <w:t>t may be suitable for a normal DCI with DL assignment</w:t>
      </w:r>
      <w:r>
        <w:rPr>
          <w:rFonts w:eastAsia="微软雅黑"/>
          <w:szCs w:val="20"/>
        </w:rPr>
        <w:t xml:space="preserve"> and without DL assignment but some flexibility especially for DCI without DL assignment may be degraded</w:t>
      </w:r>
      <w:r>
        <w:rPr>
          <w:rFonts w:hint="eastAsia" w:eastAsia="微软雅黑"/>
          <w:szCs w:val="20"/>
        </w:rPr>
        <w:t xml:space="preserve">.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w:t>
      </w:r>
      <w:r>
        <w:rPr>
          <w:rFonts w:hint="eastAsia" w:eastAsia="微软雅黑"/>
          <w:i/>
          <w:iCs/>
          <w:szCs w:val="20"/>
          <w:lang w:val="en-GB"/>
        </w:rPr>
        <w:t>/</w:t>
      </w:r>
      <w:r>
        <w:rPr>
          <w:rFonts w:eastAsia="微软雅黑"/>
          <w:i/>
          <w:iCs/>
          <w:szCs w:val="20"/>
          <w:lang w:val="en-GB"/>
        </w:rPr>
        <w:t xml:space="preserve">codepoint </w:t>
      </w:r>
      <w:r>
        <w:rPr>
          <w:rFonts w:hint="eastAsia" w:eastAsia="微软雅黑"/>
          <w:bCs/>
          <w:i/>
          <w:szCs w:val="20"/>
        </w:rPr>
        <w:t xml:space="preserve">set </w:t>
      </w:r>
      <w:r>
        <w:rPr>
          <w:rFonts w:eastAsia="微软雅黑"/>
          <w:i/>
          <w:szCs w:val="20"/>
          <w:lang w:val="en-GB"/>
        </w:rPr>
        <w:t>in</w:t>
      </w:r>
      <w:r>
        <w:rPr>
          <w:rFonts w:hint="eastAsia" w:eastAsia="微软雅黑"/>
          <w:i/>
          <w:szCs w:val="20"/>
        </w:rPr>
        <w:t xml:space="preserve"> MAC CE</w:t>
      </w:r>
      <w:r>
        <w:rPr>
          <w:rFonts w:eastAsia="微软雅黑"/>
          <w:i/>
          <w:szCs w:val="20"/>
          <w:lang w:val="en-GB"/>
        </w:rPr>
        <w:t xml:space="preserve">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 </w:t>
      </w:r>
    </w:p>
    <w:p>
      <w:pPr>
        <w:pStyle w:val="9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For separate indication, one of t</w:t>
      </w:r>
      <w:r>
        <w:rPr>
          <w:rFonts w:hint="eastAsia" w:eastAsia="微软雅黑"/>
          <w:i/>
          <w:szCs w:val="20"/>
        </w:rPr>
        <w:t xml:space="preserve">he following alternatives could be </w:t>
      </w:r>
      <w:r>
        <w:rPr>
          <w:rFonts w:eastAsia="微软雅黑"/>
          <w:i/>
          <w:szCs w:val="20"/>
        </w:rPr>
        <w:t>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Alt1: TCI state</w:t>
      </w:r>
      <w:r>
        <w:rPr>
          <w:rFonts w:hint="eastAsia" w:eastAsia="微软雅黑"/>
          <w:i/>
          <w:iCs/>
          <w:szCs w:val="20"/>
          <w:lang w:val="en-GB"/>
        </w:rPr>
        <w:t>/</w:t>
      </w:r>
      <w:r>
        <w:rPr>
          <w:rFonts w:eastAsia="微软雅黑"/>
          <w:i/>
          <w:iCs/>
          <w:szCs w:val="20"/>
          <w:lang w:val="en-GB"/>
        </w:rPr>
        <w:t>codepoint in MAC-CE is NOT specified for DL or UL, and then the mode for DL or UL of the TCI state/codepoint is indicated by DCI.</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Alt2: TCI state/codepoint in MAC-CE is specified for DL or UL, which means that the legacy TCI field in DCI can be reused but with some flexibility degradation.</w:t>
      </w:r>
    </w:p>
    <w:p>
      <w:pPr>
        <w:numPr>
          <w:ilvl w:val="2"/>
          <w:numId w:val="5"/>
        </w:numPr>
        <w:tabs>
          <w:tab w:val="left" w:pos="7938"/>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Power control</w:t>
      </w:r>
      <w:r>
        <w:rPr>
          <w:rFonts w:eastAsia="宋体"/>
          <w:b/>
          <w:bCs/>
          <w:sz w:val="21"/>
          <w:szCs w:val="21"/>
        </w:rPr>
        <w:t xml:space="preserve"> for </w:t>
      </w:r>
      <w:r>
        <w:rPr>
          <w:rFonts w:hint="eastAsia" w:eastAsia="宋体"/>
          <w:b/>
          <w:bCs/>
          <w:sz w:val="21"/>
          <w:szCs w:val="21"/>
        </w:rPr>
        <w:t xml:space="preserve">UL </w:t>
      </w:r>
      <w:r>
        <w:rPr>
          <w:rFonts w:eastAsia="宋体"/>
          <w:b/>
          <w:bCs/>
          <w:sz w:val="21"/>
          <w:szCs w:val="21"/>
        </w:rPr>
        <w:t>TCI state</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Regarding power control for unified TCI state, there </w:t>
      </w:r>
      <w:r>
        <w:rPr>
          <w:rFonts w:eastAsia="微软雅黑"/>
          <w:szCs w:val="20"/>
        </w:rPr>
        <w:t>were</w:t>
      </w:r>
      <w:r>
        <w:rPr>
          <w:rFonts w:hint="eastAsia" w:eastAsia="微软雅黑"/>
          <w:szCs w:val="20"/>
        </w:rPr>
        <w:t xml:space="preserve"> agreements as follows in RAN1#104b</w:t>
      </w:r>
      <w:r>
        <w:rPr>
          <w:rFonts w:eastAsia="微软雅黑"/>
          <w:szCs w:val="20"/>
        </w:rPr>
        <w:t>-</w:t>
      </w:r>
      <w:r>
        <w:rPr>
          <w:rFonts w:hint="eastAsia" w:eastAsia="微软雅黑"/>
          <w:szCs w:val="20"/>
        </w:rPr>
        <w:t>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jc w:val="both"/>
              <w:rPr>
                <w:rFonts w:cs="Times"/>
                <w:b/>
                <w:bCs/>
                <w:szCs w:val="20"/>
                <w:u w:val="single"/>
                <w:lang w:eastAsia="ko-KR"/>
              </w:rPr>
            </w:pPr>
            <w:r>
              <w:rPr>
                <w:rFonts w:cs="Times"/>
                <w:b/>
                <w:bCs/>
                <w:szCs w:val="20"/>
                <w:u w:val="single"/>
              </w:rPr>
              <w:t>Agreement</w:t>
            </w:r>
          </w:p>
          <w:p>
            <w:pPr>
              <w:adjustRightInd w:val="0"/>
              <w:snapToGrid w:val="0"/>
              <w:spacing w:after="0" w:line="240" w:lineRule="auto"/>
              <w:jc w:val="both"/>
              <w:rPr>
                <w:rFonts w:eastAsia="DengXian"/>
              </w:rPr>
            </w:pPr>
            <w:r>
              <w:rPr>
                <w:rFonts w:eastAsia="Times New Roman"/>
              </w:rPr>
              <w:t>On Rel.17 unified TCI framework, in RAN1#105-e, further discuss to down select or combine from the following three alternatives for PL-RS (note: the text below is based on the agreed description in RAN1#104-e):</w:t>
            </w:r>
          </w:p>
          <w:p>
            <w:pPr>
              <w:pStyle w:val="111"/>
              <w:numPr>
                <w:ilvl w:val="0"/>
                <w:numId w:val="7"/>
              </w:numPr>
              <w:autoSpaceDE w:val="0"/>
              <w:autoSpaceDN w:val="0"/>
              <w:snapToGrid w:val="0"/>
              <w:spacing w:after="0" w:line="240" w:lineRule="auto"/>
              <w:ind w:firstLineChars="0"/>
              <w:jc w:val="both"/>
              <w:rPr>
                <w:rFonts w:eastAsia="Malgun Gothic"/>
              </w:rPr>
            </w:pPr>
            <w:r>
              <w:rPr>
                <w:rFonts w:eastAsia="DengXian"/>
              </w:rPr>
              <w:t>AltA. PL-RS</w:t>
            </w:r>
            <w:r>
              <w:rPr>
                <w:rStyle w:val="42"/>
              </w:rPr>
              <w:t> </w:t>
            </w:r>
            <w:r>
              <w:rPr>
                <w:rFonts w:eastAsia="DengXian"/>
              </w:rPr>
              <w:t>can be</w:t>
            </w:r>
            <w:r>
              <w:rPr>
                <w:rStyle w:val="42"/>
              </w:rPr>
              <w:t> </w:t>
            </w:r>
            <w:r>
              <w:rPr>
                <w:rFonts w:eastAsia="DengXian"/>
              </w:rPr>
              <w:t>included in UL TCI state (or, if applicable, joint TCI state).</w:t>
            </w:r>
          </w:p>
          <w:p>
            <w:pPr>
              <w:pStyle w:val="111"/>
              <w:numPr>
                <w:ilvl w:val="1"/>
                <w:numId w:val="7"/>
              </w:numPr>
              <w:autoSpaceDE w:val="0"/>
              <w:autoSpaceDN w:val="0"/>
              <w:snapToGrid w:val="0"/>
              <w:spacing w:after="0" w:line="240" w:lineRule="auto"/>
              <w:ind w:firstLineChars="0"/>
              <w:jc w:val="both"/>
              <w:rPr>
                <w:rFonts w:eastAsia="Malgun Gothic"/>
              </w:rPr>
            </w:pPr>
            <w:r>
              <w:rPr>
                <w:rFonts w:eastAsia="Times New Roman"/>
              </w:rPr>
              <w:t>FFS: Whether it is always included or not. If not included, PL-RS is the periodic DL-RS used as a source RS for determining spatial TX filter or the PL RS used for the UL RS in UL or (if applicable) joint TCI state. </w:t>
            </w:r>
          </w:p>
          <w:p>
            <w:pPr>
              <w:pStyle w:val="111"/>
              <w:numPr>
                <w:ilvl w:val="0"/>
                <w:numId w:val="7"/>
              </w:numPr>
              <w:autoSpaceDE w:val="0"/>
              <w:autoSpaceDN w:val="0"/>
              <w:snapToGrid w:val="0"/>
              <w:spacing w:after="0" w:line="240" w:lineRule="auto"/>
              <w:ind w:firstLineChars="0"/>
              <w:jc w:val="both"/>
              <w:rPr>
                <w:rFonts w:eastAsia="Malgun Gothic"/>
              </w:rPr>
            </w:pPr>
            <w:r>
              <w:t>AltB. PL-RS</w:t>
            </w:r>
            <w:r>
              <w:rPr>
                <w:rStyle w:val="42"/>
              </w:rPr>
              <w:t> </w:t>
            </w:r>
            <w:r>
              <w:t>can be</w:t>
            </w:r>
            <w:r>
              <w:rPr>
                <w:rStyle w:val="42"/>
              </w:rPr>
              <w:t> </w:t>
            </w:r>
            <w:r>
              <w:t>associated with (but not included in) UL TCI state (or, if applicable, joint TCI state)</w:t>
            </w:r>
          </w:p>
          <w:p>
            <w:pPr>
              <w:pStyle w:val="111"/>
              <w:numPr>
                <w:ilvl w:val="1"/>
                <w:numId w:val="7"/>
              </w:numPr>
              <w:autoSpaceDE w:val="0"/>
              <w:autoSpaceDN w:val="0"/>
              <w:snapToGrid w:val="0"/>
              <w:spacing w:after="0" w:line="240" w:lineRule="auto"/>
              <w:ind w:firstLineChars="0"/>
              <w:jc w:val="both"/>
              <w:rPr>
                <w:rFonts w:eastAsia="Malgun Gothic"/>
              </w:rPr>
            </w:pPr>
            <w:r>
              <w:t>FFS: Exact association mechanism</w:t>
            </w:r>
          </w:p>
          <w:p>
            <w:pPr>
              <w:pStyle w:val="111"/>
              <w:numPr>
                <w:ilvl w:val="1"/>
                <w:numId w:val="7"/>
              </w:numPr>
              <w:autoSpaceDE w:val="0"/>
              <w:autoSpaceDN w:val="0"/>
              <w:snapToGrid w:val="0"/>
              <w:spacing w:after="0" w:line="240" w:lineRule="auto"/>
              <w:ind w:firstLineChars="0"/>
              <w:jc w:val="both"/>
              <w:rPr>
                <w:rFonts w:eastAsia="Malgun Gothic"/>
              </w:rPr>
            </w:pPr>
            <w:r>
              <w:rPr>
                <w:rFonts w:eastAsia="Times New Roman"/>
              </w:rPr>
              <w:t>FFS: Whether it is always associated or not. If not associated, PL-RS is the periodic DL-RS used as a source RS for determining spatial TX filter or the PL RS used for the UL RS in UL or (if applicable) joint TCI state</w:t>
            </w:r>
          </w:p>
          <w:p>
            <w:pPr>
              <w:pStyle w:val="111"/>
              <w:numPr>
                <w:ilvl w:val="0"/>
                <w:numId w:val="7"/>
              </w:numPr>
              <w:autoSpaceDE w:val="0"/>
              <w:autoSpaceDN w:val="0"/>
              <w:snapToGrid w:val="0"/>
              <w:spacing w:after="0" w:line="240" w:lineRule="auto"/>
              <w:ind w:firstLineChars="0"/>
              <w:jc w:val="both"/>
              <w:rPr>
                <w:rFonts w:eastAsia="Malgun Gothic"/>
              </w:rPr>
            </w:pPr>
            <w:r>
              <w:rPr>
                <w:rFonts w:eastAsia="Times New Roman"/>
              </w:rPr>
              <w:t xml:space="preserve">AltC. UE calculates path-loss based on periodic DL RS configured as the source RS </w:t>
            </w:r>
            <w:r>
              <w:rPr>
                <w:rFonts w:hint="eastAsia"/>
              </w:rPr>
              <w:t>for determining spatial TX filter in UL or (if applicable) joint TCI state</w:t>
            </w:r>
            <w:r>
              <w:rPr>
                <w:rFonts w:eastAsia="Times New Roman"/>
              </w:rPr>
              <w:t xml:space="preserve"> </w:t>
            </w:r>
          </w:p>
          <w:p>
            <w:pPr>
              <w:pStyle w:val="111"/>
              <w:numPr>
                <w:ilvl w:val="1"/>
                <w:numId w:val="7"/>
              </w:numPr>
              <w:autoSpaceDE w:val="0"/>
              <w:autoSpaceDN w:val="0"/>
              <w:snapToGrid w:val="0"/>
              <w:spacing w:after="0" w:line="240" w:lineRule="auto"/>
              <w:ind w:firstLineChars="0"/>
              <w:jc w:val="both"/>
              <w:rPr>
                <w:rFonts w:eastAsia="Malgun Gothic"/>
              </w:rPr>
            </w:pPr>
            <w:r>
              <w:rPr>
                <w:rFonts w:eastAsia="Times New Roman"/>
              </w:rPr>
              <w:t xml:space="preserve">FFS: </w:t>
            </w:r>
            <w:r>
              <w:rPr>
                <w:rStyle w:val="42"/>
                <w:rFonts w:eastAsia="Malgun Gothic"/>
              </w:rPr>
              <w:t xml:space="preserve">If a PL RS is not </w:t>
            </w:r>
            <w:r>
              <w:t xml:space="preserve">included in or associated with the UL </w:t>
            </w:r>
            <w:r>
              <w:rPr>
                <w:rStyle w:val="42"/>
                <w:rFonts w:eastAsia="Malgun Gothic"/>
              </w:rPr>
              <w:t>TCI state (or, if applicable, joint TCI state), whether the UE can estimate path-loss based on the PL-RS of an UL RS provided in an UL TCI state (or, if applicable, joint TCI state) as a source RS for determining the spatial TX filter.</w:t>
            </w:r>
          </w:p>
          <w:p>
            <w:pPr>
              <w:adjustRightInd w:val="0"/>
              <w:snapToGrid w:val="0"/>
              <w:spacing w:after="0" w:line="240" w:lineRule="auto"/>
              <w:jc w:val="both"/>
            </w:pPr>
            <w:r>
              <w:t>In addition:</w:t>
            </w:r>
          </w:p>
          <w:p>
            <w:pPr>
              <w:pStyle w:val="111"/>
              <w:numPr>
                <w:ilvl w:val="0"/>
                <w:numId w:val="7"/>
              </w:numPr>
              <w:autoSpaceDE w:val="0"/>
              <w:autoSpaceDN w:val="0"/>
              <w:snapToGrid w:val="0"/>
              <w:spacing w:after="0" w:line="240" w:lineRule="auto"/>
              <w:ind w:firstLineChars="0"/>
              <w:jc w:val="both"/>
            </w:pPr>
            <w:r>
              <w:t xml:space="preserve">FFS (to be decided in RAN1#105-e) whether a fallback scheme is needed and, if so, the details </w:t>
            </w:r>
          </w:p>
          <w:p>
            <w:pPr>
              <w:pStyle w:val="111"/>
              <w:numPr>
                <w:ilvl w:val="0"/>
                <w:numId w:val="7"/>
              </w:numPr>
              <w:autoSpaceDE w:val="0"/>
              <w:autoSpaceDN w:val="0"/>
              <w:snapToGrid w:val="0"/>
              <w:spacing w:after="0" w:line="240" w:lineRule="auto"/>
              <w:ind w:firstLineChars="0"/>
              <w:jc w:val="both"/>
              <w:rPr>
                <w:rStyle w:val="42"/>
              </w:rPr>
            </w:pPr>
            <w:r>
              <w:rPr>
                <w:rStyle w:val="42"/>
              </w:rPr>
              <w:t xml:space="preserve">FFS: </w:t>
            </w:r>
            <w:r>
              <w:rPr>
                <w:rFonts w:hint="eastAsia"/>
              </w:rPr>
              <w:t>Support additional UE capability to report whether above PLRS determination mechanism is supported</w:t>
            </w:r>
          </w:p>
          <w:p>
            <w:pPr>
              <w:pStyle w:val="111"/>
              <w:numPr>
                <w:ilvl w:val="0"/>
                <w:numId w:val="7"/>
              </w:numPr>
              <w:autoSpaceDE w:val="0"/>
              <w:autoSpaceDN w:val="0"/>
              <w:snapToGrid w:val="0"/>
              <w:spacing w:after="0" w:line="240" w:lineRule="auto"/>
              <w:ind w:firstLineChars="0"/>
              <w:jc w:val="both"/>
              <w:rPr>
                <w:rStyle w:val="42"/>
              </w:rPr>
            </w:pPr>
            <w:r>
              <w:rPr>
                <w:rStyle w:val="42"/>
              </w:rPr>
              <w:t xml:space="preserve">Note: As agreed in RAN1#104-e, </w:t>
            </w:r>
            <w:r>
              <w:t>the total number of maintained PL-RSs per CC</w:t>
            </w:r>
            <w:r>
              <w:rPr>
                <w:rStyle w:val="42"/>
              </w:rPr>
              <w:t> is no more than 4</w:t>
            </w:r>
          </w:p>
          <w:p>
            <w:pPr>
              <w:pStyle w:val="111"/>
              <w:numPr>
                <w:ilvl w:val="0"/>
                <w:numId w:val="7"/>
              </w:numPr>
              <w:autoSpaceDE w:val="0"/>
              <w:autoSpaceDN w:val="0"/>
              <w:snapToGrid w:val="0"/>
              <w:spacing w:after="0" w:line="240" w:lineRule="auto"/>
              <w:ind w:firstLineChars="0"/>
              <w:jc w:val="both"/>
            </w:pPr>
            <w:r>
              <w:t>FFS: investigate the condition(s) agreed in Rel-17 and, if needed, study whether a UE can simultaneously maintain more than four path-loss estimates based on UE capability</w:t>
            </w:r>
          </w:p>
          <w:p>
            <w:pPr>
              <w:pStyle w:val="111"/>
              <w:numPr>
                <w:ilvl w:val="0"/>
                <w:numId w:val="7"/>
              </w:numPr>
              <w:autoSpaceDE w:val="0"/>
              <w:autoSpaceDN w:val="0"/>
              <w:snapToGrid w:val="0"/>
              <w:spacing w:after="0" w:line="240" w:lineRule="auto"/>
              <w:ind w:firstLineChars="0"/>
              <w:jc w:val="both"/>
            </w:pPr>
            <w:r>
              <w:rPr>
                <w:rFonts w:eastAsia="Times New Roman"/>
              </w:rPr>
              <w:t>FFS: UE capability for maximum number of active PL-RS across CCs per band</w:t>
            </w:r>
          </w:p>
          <w:p>
            <w:pPr>
              <w:adjustRightInd w:val="0"/>
              <w:snapToGrid w:val="0"/>
              <w:spacing w:after="0" w:line="240" w:lineRule="auto"/>
              <w:jc w:val="both"/>
              <w:rPr>
                <w:rFonts w:eastAsia="Times New Roman"/>
                <w:szCs w:val="24"/>
                <w:lang w:val="en-GB" w:eastAsia="en-US"/>
              </w:rPr>
            </w:pPr>
          </w:p>
          <w:p>
            <w:pPr>
              <w:adjustRightInd w:val="0"/>
              <w:snapToGrid w:val="0"/>
              <w:spacing w:after="0" w:line="240" w:lineRule="auto"/>
              <w:jc w:val="both"/>
              <w:rPr>
                <w:szCs w:val="20"/>
              </w:rPr>
            </w:pPr>
            <w:r>
              <w:rPr>
                <w:b/>
                <w:bCs/>
                <w:szCs w:val="20"/>
                <w:u w:val="single"/>
              </w:rPr>
              <w:t>Agreement</w:t>
            </w:r>
          </w:p>
          <w:p>
            <w:pPr>
              <w:adjustRightInd w:val="0"/>
              <w:snapToGrid w:val="0"/>
              <w:spacing w:after="0" w:line="240" w:lineRule="auto"/>
              <w:jc w:val="both"/>
            </w:pPr>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pPr>
              <w:numPr>
                <w:ilvl w:val="0"/>
                <w:numId w:val="8"/>
              </w:numPr>
              <w:snapToGrid w:val="0"/>
              <w:spacing w:after="0" w:line="240" w:lineRule="auto"/>
              <w:rPr>
                <w:rFonts w:eastAsia="Times New Roman"/>
              </w:rPr>
            </w:pPr>
            <w:r>
              <w:rPr>
                <w:rFonts w:eastAsia="Times New Roman"/>
              </w:rPr>
              <w:t>AltA. The setting of (P0, alpha, closed loop index) is also associated with UL or (if applicable) joint TCI state</w:t>
            </w:r>
          </w:p>
          <w:p>
            <w:pPr>
              <w:numPr>
                <w:ilvl w:val="0"/>
                <w:numId w:val="8"/>
              </w:numPr>
              <w:snapToGrid w:val="0"/>
              <w:spacing w:after="0" w:line="240" w:lineRule="auto"/>
              <w:rPr>
                <w:rFonts w:eastAsia="Times New Roman"/>
              </w:rPr>
            </w:pPr>
            <w:r>
              <w:rPr>
                <w:rFonts w:eastAsia="Times New Roman"/>
              </w:rPr>
              <w:t>AltB. The setting of (P0, alpha, closed loop index) is also included with UL or (if applicable) joint TCI state</w:t>
            </w:r>
          </w:p>
          <w:p>
            <w:pPr>
              <w:numPr>
                <w:ilvl w:val="0"/>
                <w:numId w:val="8"/>
              </w:numPr>
              <w:snapToGrid w:val="0"/>
              <w:spacing w:after="0" w:line="240" w:lineRule="auto"/>
              <w:rPr>
                <w:rFonts w:eastAsia="Times New Roman"/>
              </w:rPr>
            </w:pPr>
            <w:r>
              <w:rPr>
                <w:rFonts w:eastAsia="Times New Roman"/>
              </w:rPr>
              <w:t>AltC. The setting of (P0, alpha, closed loop index) is neither associated with nor included in UL or (if applicable) joint TCI state</w:t>
            </w:r>
          </w:p>
          <w:p>
            <w:pPr>
              <w:adjustRightInd w:val="0"/>
              <w:snapToGrid w:val="0"/>
              <w:spacing w:after="0" w:line="240" w:lineRule="auto"/>
            </w:pPr>
            <w:r>
              <w:t>Note: It has been agreed that the setting of (P0, alpha, closed loop index) is associated with UL channel or UL RS (therefore the setting is channel- and signal-specific).</w:t>
            </w:r>
          </w:p>
        </w:tc>
      </w:tr>
    </w:tbl>
    <w:p>
      <w:pPr>
        <w:snapToGrid w:val="0"/>
        <w:spacing w:before="120" w:after="120" w:afterLines="50" w:line="300" w:lineRule="auto"/>
        <w:jc w:val="both"/>
        <w:rPr>
          <w:rFonts w:eastAsia="微软雅黑"/>
          <w:szCs w:val="20"/>
        </w:rPr>
      </w:pPr>
      <w:r>
        <w:rPr>
          <w:rFonts w:hint="eastAsia" w:eastAsia="微软雅黑"/>
          <w:szCs w:val="20"/>
        </w:rPr>
        <w:t>From above agreements, a TCI state which can be used for UL may be associated with power control</w:t>
      </w:r>
      <w:r>
        <w:rPr>
          <w:rFonts w:eastAsia="微软雅黑"/>
          <w:szCs w:val="20"/>
        </w:rPr>
        <w:t xml:space="preserve"> (PC)</w:t>
      </w:r>
      <w:r>
        <w:rPr>
          <w:rFonts w:hint="eastAsia" w:eastAsia="微软雅黑"/>
          <w:szCs w:val="20"/>
        </w:rPr>
        <w:t xml:space="preserve"> parameters </w:t>
      </w:r>
      <w:r>
        <w:rPr>
          <w:rFonts w:eastAsia="微软雅黑"/>
          <w:szCs w:val="20"/>
        </w:rPr>
        <w:t>involving P0/alpha, PL RS, and closed loop index.</w:t>
      </w:r>
      <w:r>
        <w:rPr>
          <w:rFonts w:hint="eastAsia" w:eastAsia="微软雅黑"/>
          <w:szCs w:val="20"/>
        </w:rPr>
        <w:t xml:space="preserve"> </w:t>
      </w:r>
      <w:r>
        <w:rPr>
          <w:rFonts w:eastAsia="微软雅黑"/>
          <w:szCs w:val="20"/>
        </w:rPr>
        <w:t xml:space="preserve">For backward compatibility, the UL PC parameter can be independently configured and be mapped with a TCI state, if required, instead of adding the UL PC parameter directly into RRC parameter </w:t>
      </w:r>
      <w:r>
        <w:rPr>
          <w:i/>
        </w:rPr>
        <w:t>TCI-State</w:t>
      </w:r>
      <w:r>
        <w:rPr>
          <w:rFonts w:eastAsia="微软雅黑"/>
          <w:szCs w:val="20"/>
        </w:rPr>
        <w:t>. In such case, there may be no further change for the current RRC structure of TCI state.</w:t>
      </w:r>
    </w:p>
    <w:p>
      <w:pPr>
        <w:snapToGrid w:val="0"/>
        <w:spacing w:before="120" w:after="120" w:afterLines="50" w:line="300" w:lineRule="auto"/>
        <w:jc w:val="both"/>
        <w:rPr>
          <w:rFonts w:eastAsia="微软雅黑"/>
          <w:szCs w:val="20"/>
        </w:rPr>
      </w:pPr>
      <w:r>
        <w:rPr>
          <w:rFonts w:eastAsia="微软雅黑"/>
          <w:szCs w:val="20"/>
        </w:rPr>
        <w:t>The PL RS can be applied to all types of UL channel/RSs, but P0/alpha and closed loop index should be further channel/RS-specific as in Rel-15/16.</w:t>
      </w:r>
    </w:p>
    <w:p>
      <w:pPr>
        <w:numPr>
          <w:ilvl w:val="0"/>
          <w:numId w:val="6"/>
        </w:numPr>
        <w:snapToGrid w:val="0"/>
        <w:spacing w:before="120" w:after="120" w:afterLines="50" w:line="300" w:lineRule="auto"/>
        <w:jc w:val="both"/>
        <w:rPr>
          <w:rFonts w:eastAsia="微软雅黑"/>
          <w:szCs w:val="20"/>
        </w:rPr>
      </w:pPr>
      <w:r>
        <w:rPr>
          <w:rFonts w:eastAsia="微软雅黑"/>
          <w:szCs w:val="20"/>
        </w:rPr>
        <w:t>Regarding PL RS, both the explicit and implicit methods of determining PL RS should be supported for different purposes.</w:t>
      </w:r>
    </w:p>
    <w:p>
      <w:pPr>
        <w:numPr>
          <w:ilvl w:val="1"/>
          <w:numId w:val="6"/>
        </w:numPr>
        <w:snapToGrid w:val="0"/>
        <w:spacing w:before="120" w:after="120" w:afterLines="50" w:line="300" w:lineRule="auto"/>
        <w:jc w:val="both"/>
        <w:rPr>
          <w:rFonts w:eastAsia="微软雅黑"/>
          <w:szCs w:val="20"/>
        </w:rPr>
      </w:pPr>
      <w:r>
        <w:rPr>
          <w:rFonts w:eastAsia="微软雅黑"/>
          <w:szCs w:val="20"/>
        </w:rPr>
        <w:t xml:space="preserve">Considering that DL RS corresponding to PL RS and QCL Type-D may be different due to the imbalance of number of activated PL RS (up to 4) and activated TCI state (up to 8) and different time-domain behavior requirement for PL RS (periodic only) and TCI state (all types), the explicit method through configuring PL RS as in Rel-15 is useful. </w:t>
      </w:r>
    </w:p>
    <w:p>
      <w:pPr>
        <w:numPr>
          <w:ilvl w:val="1"/>
          <w:numId w:val="6"/>
        </w:numPr>
        <w:snapToGrid w:val="0"/>
        <w:spacing w:before="120" w:after="120" w:afterLines="50" w:line="300" w:lineRule="auto"/>
        <w:jc w:val="both"/>
        <w:rPr>
          <w:rFonts w:eastAsia="微软雅黑"/>
          <w:szCs w:val="20"/>
        </w:rPr>
      </w:pPr>
      <w:r>
        <w:rPr>
          <w:rFonts w:eastAsia="微软雅黑"/>
          <w:szCs w:val="20"/>
        </w:rPr>
        <w:t xml:space="preserve">But, in the case that the number of activated TCI state is less than or equal to the maximum number of activated PL RS and a periodic RS is configured as in QCL-Type D RS, the implicit method seems to be more efficient with lower RRC signaling overhead and UE RS monitoring flexibility. </w:t>
      </w:r>
    </w:p>
    <w:p>
      <w:pPr>
        <w:numPr>
          <w:ilvl w:val="0"/>
          <w:numId w:val="6"/>
        </w:numPr>
        <w:snapToGrid w:val="0"/>
        <w:spacing w:before="60" w:beforeLines="25" w:after="120" w:afterLines="50" w:line="300" w:lineRule="auto"/>
        <w:jc w:val="both"/>
        <w:rPr>
          <w:rFonts w:eastAsia="微软雅黑"/>
          <w:szCs w:val="20"/>
        </w:rPr>
      </w:pPr>
      <w:r>
        <w:rPr>
          <w:rFonts w:eastAsia="微软雅黑"/>
          <w:szCs w:val="20"/>
        </w:rPr>
        <w:t>Regarding other PC parameters (P0/alpha, and closed loop index):</w:t>
      </w:r>
    </w:p>
    <w:p>
      <w:pPr>
        <w:numPr>
          <w:ilvl w:val="1"/>
          <w:numId w:val="6"/>
        </w:numPr>
        <w:snapToGrid w:val="0"/>
        <w:spacing w:before="60" w:beforeLines="25" w:after="120" w:afterLines="50" w:line="300" w:lineRule="auto"/>
        <w:jc w:val="both"/>
        <w:rPr>
          <w:rFonts w:eastAsia="微软雅黑"/>
          <w:szCs w:val="20"/>
        </w:rPr>
      </w:pPr>
      <w:r>
        <w:rPr>
          <w:rFonts w:hint="eastAsia" w:eastAsia="微软雅黑"/>
          <w:szCs w:val="20"/>
        </w:rPr>
        <w:t>If a TCI state is applied to a PUCCH</w:t>
      </w:r>
      <w:r>
        <w:rPr>
          <w:rFonts w:eastAsia="微软雅黑"/>
          <w:szCs w:val="20"/>
        </w:rPr>
        <w:t>/SRS</w:t>
      </w:r>
      <w:r>
        <w:rPr>
          <w:rFonts w:hint="eastAsia" w:eastAsia="微软雅黑"/>
          <w:szCs w:val="20"/>
        </w:rPr>
        <w:t>, the</w:t>
      </w:r>
      <w:r>
        <w:rPr>
          <w:rFonts w:eastAsia="微软雅黑"/>
          <w:szCs w:val="20"/>
        </w:rPr>
        <w:t xml:space="preserve"> other PC </w:t>
      </w:r>
      <w:r>
        <w:rPr>
          <w:rFonts w:hint="eastAsia" w:eastAsia="微软雅黑"/>
          <w:szCs w:val="20"/>
        </w:rPr>
        <w:t>parameters for PUCCH</w:t>
      </w:r>
      <w:r>
        <w:rPr>
          <w:rFonts w:eastAsia="微软雅黑"/>
          <w:szCs w:val="20"/>
        </w:rPr>
        <w:t>/SRS</w:t>
      </w:r>
      <w:r>
        <w:rPr>
          <w:rFonts w:hint="eastAsia" w:eastAsia="微软雅黑"/>
          <w:szCs w:val="20"/>
        </w:rPr>
        <w:t xml:space="preserve"> associated with the TCI state should be applied to the PUCCH</w:t>
      </w:r>
      <w:r>
        <w:rPr>
          <w:rFonts w:eastAsia="微软雅黑"/>
          <w:szCs w:val="20"/>
        </w:rPr>
        <w:t>/SRS accordingly</w:t>
      </w:r>
      <w:r>
        <w:rPr>
          <w:rFonts w:hint="eastAsia" w:eastAsia="微软雅黑"/>
          <w:szCs w:val="20"/>
        </w:rPr>
        <w:t xml:space="preserve">. </w:t>
      </w:r>
    </w:p>
    <w:p>
      <w:pPr>
        <w:numPr>
          <w:ilvl w:val="1"/>
          <w:numId w:val="6"/>
        </w:numPr>
        <w:snapToGrid w:val="0"/>
        <w:spacing w:before="60" w:beforeLines="25" w:after="120" w:afterLines="50" w:line="300" w:lineRule="auto"/>
        <w:jc w:val="both"/>
        <w:rPr>
          <w:rFonts w:eastAsia="微软雅黑"/>
          <w:szCs w:val="20"/>
        </w:rPr>
      </w:pPr>
      <w:r>
        <w:rPr>
          <w:rFonts w:hint="eastAsia" w:eastAsia="微软雅黑"/>
          <w:szCs w:val="20"/>
        </w:rPr>
        <w:t>If a TCI state is applied to a PUSCH which may refer to one or more SRS resources</w:t>
      </w:r>
      <w:r>
        <w:rPr>
          <w:rFonts w:eastAsia="微软雅黑"/>
          <w:szCs w:val="20"/>
        </w:rPr>
        <w:t xml:space="preserve"> for CB or non-CB</w:t>
      </w:r>
      <w:r>
        <w:rPr>
          <w:rFonts w:hint="eastAsia" w:eastAsia="微软雅黑"/>
          <w:szCs w:val="20"/>
        </w:rPr>
        <w:t xml:space="preserve">, the </w:t>
      </w:r>
      <w:r>
        <w:rPr>
          <w:rFonts w:eastAsia="微软雅黑"/>
          <w:szCs w:val="20"/>
        </w:rPr>
        <w:t>other PC</w:t>
      </w:r>
      <w:r>
        <w:rPr>
          <w:rFonts w:hint="eastAsia" w:eastAsia="微软雅黑"/>
          <w:szCs w:val="20"/>
        </w:rPr>
        <w:t xml:space="preserve"> parameters associated with the TCI state</w:t>
      </w:r>
      <w:r>
        <w:rPr>
          <w:rFonts w:eastAsia="微软雅黑"/>
          <w:szCs w:val="20"/>
        </w:rPr>
        <w:t xml:space="preserve"> can be directly applied to the subsequent PUSCH transmission rather than a legacy Rel-15/Rel-16 approach of deriving other PC parameters mapped to the indicated SRI</w:t>
      </w:r>
      <w:r>
        <w:rPr>
          <w:rFonts w:hint="eastAsia" w:eastAsia="微软雅黑"/>
          <w:szCs w:val="20"/>
        </w:rPr>
        <w:t xml:space="preserve">, considering </w:t>
      </w:r>
      <w:r>
        <w:rPr>
          <w:rFonts w:eastAsia="微软雅黑"/>
          <w:szCs w:val="20"/>
        </w:rPr>
        <w:t>all SRS resources for CB or non-CB in the set correspond to the same unified TCI state (i.e., the same Tx beam) in the unified TCI framework</w:t>
      </w:r>
      <w:r>
        <w:rPr>
          <w:rFonts w:hint="eastAsia" w:eastAsia="微软雅黑"/>
          <w:szCs w:val="20"/>
        </w:rPr>
        <w:t xml:space="preserve">. </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Therefore, the above Alt</w:t>
      </w:r>
      <w:r>
        <w:rPr>
          <w:rFonts w:eastAsia="微软雅黑"/>
          <w:szCs w:val="20"/>
        </w:rPr>
        <w:t>B+AltC</w:t>
      </w:r>
      <w:r>
        <w:rPr>
          <w:rFonts w:hint="eastAsia" w:eastAsia="微软雅黑"/>
          <w:szCs w:val="20"/>
        </w:rPr>
        <w:t xml:space="preserve"> for PL-RS and AltA for other PC parameters are preferred due to flexibility and simplicity.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3</w:t>
      </w:r>
      <w:r>
        <w:rPr>
          <w:rFonts w:eastAsia="微软雅黑"/>
          <w:b/>
          <w:i/>
          <w:szCs w:val="20"/>
          <w:lang w:val="en-GB"/>
        </w:rPr>
        <w:t>:</w:t>
      </w:r>
      <w:r>
        <w:rPr>
          <w:rFonts w:hint="eastAsia" w:eastAsia="微软雅黑"/>
          <w:i/>
          <w:szCs w:val="20"/>
          <w:lang w:val="en-GB"/>
        </w:rPr>
        <w:t xml:space="preserve"> </w:t>
      </w:r>
      <w:r>
        <w:rPr>
          <w:rFonts w:hint="eastAsia" w:eastAsia="微软雅黑"/>
          <w:i/>
          <w:iCs/>
          <w:szCs w:val="20"/>
          <w:lang w:val="en-GB"/>
        </w:rPr>
        <w:t xml:space="preserve">Beam-specific power control (involving P0/alpha, PL RS, and closed loop index) is supported (analogous to Rel.15/16) </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For PUSCH, PUCCH and SRS resource set (for CB, NCB and </w:t>
      </w:r>
      <w:r>
        <w:rPr>
          <w:rFonts w:hint="eastAsia" w:eastAsia="微软雅黑"/>
          <w:i/>
          <w:iCs/>
          <w:szCs w:val="20"/>
        </w:rPr>
        <w:t>AS(</w:t>
      </w:r>
      <w:r>
        <w:rPr>
          <w:rFonts w:hint="eastAsia" w:eastAsia="微软雅黑"/>
          <w:i/>
          <w:iCs/>
          <w:szCs w:val="20"/>
          <w:lang w:val="en-GB"/>
        </w:rPr>
        <w:t>antenna switch</w:t>
      </w:r>
      <w:r>
        <w:rPr>
          <w:rFonts w:hint="eastAsia" w:eastAsia="微软雅黑"/>
          <w:i/>
          <w:iCs/>
          <w:szCs w:val="20"/>
        </w:rPr>
        <w:t>ing)</w:t>
      </w:r>
      <w:r>
        <w:rPr>
          <w:rFonts w:hint="eastAsia" w:eastAsia="微软雅黑"/>
          <w:i/>
          <w:iCs/>
          <w:szCs w:val="20"/>
          <w:lang w:val="en-GB"/>
        </w:rPr>
        <w:t>), PL-RS is determined according to the indicated UL TCI state or (if applicable) joint TCI state (AltB+AltC is 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PL-RS can be associated with (but not included in)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If not associated, PL-RS is the periodic DL-RS used as a source RS for determining spatial TX filter or the PL RS used for the UL RS in UL or (if applicable) joint TCI state</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For PUSCH, PUCCH and SRS resource set (for CB, NCB and AS), other PC parameters (involving P0/alpha and closed loop index) is determined according to the indicated UL TCI state or (if applicable) joint TCI state</w:t>
      </w:r>
      <w:r>
        <w:rPr>
          <w:rFonts w:hint="eastAsia" w:eastAsia="微软雅黑"/>
          <w:i/>
          <w:iCs/>
          <w:szCs w:val="20"/>
        </w:rPr>
        <w:t xml:space="preserve"> </w:t>
      </w:r>
      <w:r>
        <w:rPr>
          <w:rFonts w:hint="eastAsia" w:eastAsia="微软雅黑"/>
          <w:i/>
          <w:iCs/>
          <w:szCs w:val="20"/>
          <w:lang w:val="en-GB"/>
        </w:rPr>
        <w:t>(Alt</w:t>
      </w:r>
      <w:r>
        <w:rPr>
          <w:rFonts w:hint="eastAsia" w:eastAsia="微软雅黑"/>
          <w:i/>
          <w:iCs/>
          <w:szCs w:val="20"/>
        </w:rPr>
        <w:t>A</w:t>
      </w:r>
      <w:r>
        <w:rPr>
          <w:rFonts w:hint="eastAsia" w:eastAsia="微软雅黑"/>
          <w:i/>
          <w:iCs/>
          <w:szCs w:val="20"/>
          <w:lang w:val="en-GB"/>
        </w:rPr>
        <w:t>)</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Other PC parameters (involving P0/alpha and closed loop index) can be associated with (but not included in) UL TCI state or (if applicable) joint TCI state </w:t>
      </w:r>
    </w:p>
    <w:p>
      <w:pPr>
        <w:widowControl w:val="0"/>
        <w:numPr>
          <w:ilvl w:val="2"/>
          <w:numId w:val="5"/>
        </w:numPr>
        <w:tabs>
          <w:tab w:val="left" w:pos="7938"/>
          <w:tab w:val="clear" w:pos="720"/>
        </w:tabs>
        <w:snapToGrid w:val="0"/>
        <w:spacing w:before="240" w:after="120" w:afterLines="50" w:line="240" w:lineRule="auto"/>
        <w:ind w:left="607" w:hanging="607"/>
        <w:jc w:val="both"/>
        <w:outlineLvl w:val="2"/>
        <w:rPr>
          <w:rFonts w:eastAsia="宋体"/>
          <w:b/>
          <w:bCs/>
          <w:kern w:val="0"/>
          <w:sz w:val="21"/>
          <w:szCs w:val="21"/>
        </w:rPr>
      </w:pPr>
      <w:r>
        <w:rPr>
          <w:rFonts w:hint="eastAsia" w:eastAsia="宋体"/>
          <w:b/>
          <w:bCs/>
          <w:kern w:val="0"/>
          <w:sz w:val="21"/>
          <w:szCs w:val="21"/>
        </w:rPr>
        <w:t>Common beam update</w:t>
      </w:r>
      <w:r>
        <w:rPr>
          <w:rFonts w:eastAsia="宋体"/>
          <w:b/>
          <w:bCs/>
          <w:kern w:val="0"/>
          <w:sz w:val="21"/>
          <w:szCs w:val="21"/>
        </w:rPr>
        <w:t xml:space="preserve"> cross carriers</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In RAN1#103</w:t>
      </w:r>
      <w:r>
        <w:rPr>
          <w:rFonts w:eastAsia="微软雅黑"/>
          <w:szCs w:val="20"/>
        </w:rPr>
        <w:t>-</w:t>
      </w:r>
      <w:r>
        <w:rPr>
          <w:rFonts w:hint="eastAsia" w:eastAsia="微软雅黑"/>
          <w:szCs w:val="20"/>
        </w:rPr>
        <w:t>e</w:t>
      </w:r>
      <w:r>
        <w:rPr>
          <w:rFonts w:eastAsia="微软雅黑"/>
          <w:szCs w:val="20"/>
        </w:rPr>
        <w:t xml:space="preserve"> </w:t>
      </w:r>
      <w:r>
        <w:rPr>
          <w:rFonts w:hint="eastAsia" w:eastAsia="微软雅黑"/>
          <w:szCs w:val="20"/>
        </w:rPr>
        <w:t xml:space="preserve">meeting, </w:t>
      </w:r>
      <w:r>
        <w:rPr>
          <w:rFonts w:eastAsia="微软雅黑"/>
          <w:szCs w:val="20"/>
        </w:rPr>
        <w:t xml:space="preserve">a general framework for </w:t>
      </w:r>
      <w:r>
        <w:rPr>
          <w:rFonts w:hint="eastAsia" w:eastAsia="微软雅黑"/>
          <w:szCs w:val="20"/>
        </w:rPr>
        <w:t>common DL/UL beam indication cross carriers (CCs) under the unified TCI framework was</w:t>
      </w:r>
      <w:r>
        <w:rPr>
          <w:rFonts w:eastAsia="微软雅黑"/>
          <w:szCs w:val="20"/>
        </w:rPr>
        <w:t xml:space="preserve"> </w:t>
      </w:r>
      <w:r>
        <w:rPr>
          <w:rFonts w:hint="eastAsia" w:eastAsia="微软雅黑"/>
          <w:szCs w:val="20"/>
        </w:rPr>
        <w:t>agreed</w:t>
      </w:r>
      <w:r>
        <w:rPr>
          <w:rFonts w:eastAsia="微软雅黑"/>
          <w:szCs w:val="20"/>
        </w:rPr>
        <w:t xml:space="preserve"> as follows. In this subsection, we further discuss the details on common beam update cross </w:t>
      </w:r>
      <w:r>
        <w:rPr>
          <w:rFonts w:hint="eastAsia" w:eastAsia="微软雅黑"/>
          <w:szCs w:val="20"/>
        </w:rPr>
        <w:t>CC</w:t>
      </w:r>
      <w:r>
        <w:rPr>
          <w:rFonts w:eastAsia="微软雅黑"/>
          <w:szCs w:val="20"/>
        </w:rPr>
        <w:t>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eastAsiaTheme="minorEastAsia"/>
                <w:b/>
                <w:bCs/>
                <w:szCs w:val="20"/>
                <w:u w:val="single"/>
              </w:rPr>
            </w:pPr>
            <w:r>
              <w:rPr>
                <w:rFonts w:hint="eastAsia" w:cs="Times"/>
                <w:b/>
                <w:bCs/>
                <w:szCs w:val="20"/>
                <w:u w:val="single"/>
              </w:rPr>
              <w:t>Agreement</w:t>
            </w:r>
          </w:p>
          <w:p>
            <w:pPr>
              <w:snapToGrid w:val="0"/>
              <w:spacing w:after="0"/>
              <w:jc w:val="both"/>
              <w:rPr>
                <w:rFonts w:ascii="Times" w:hAnsi="Times" w:eastAsia="Batang" w:cs="Times"/>
                <w:szCs w:val="24"/>
                <w:lang w:val="en-GB" w:eastAsia="en-US"/>
              </w:rPr>
            </w:pPr>
            <w:r>
              <w:rPr>
                <w:rFonts w:ascii="Times" w:hAnsi="Times" w:eastAsia="Batang" w:cs="Times"/>
                <w:szCs w:val="20"/>
                <w:lang w:val="en-GB" w:eastAsia="en-US"/>
              </w:rPr>
              <w:t>On Rel-17 unified TCI framework, support common TCI state ID update and activation to provide common QCL information and/or common UL TX spatial filter(s) across a set of configured CCs: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above applies to intra-band CA</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The above applies to joint DL/UL and separate DL/UL beam indications </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Just as Rel.16, the RS in the TCI state that provides QCL-TypeA [or QCL-TypeB] shall be in the same CC as the target channel or RS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common TCI state ID implies that the same/single RS determined according to the TCI state(s) indicated by a common TCI state ID is used to provide QCL Type-D indication and to determine UL TX spatial filter across the set of configured CCs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The above also applies to inter-band CA </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TCI state pool for CA </w:t>
            </w:r>
          </w:p>
          <w:p>
            <w:pPr>
              <w:numPr>
                <w:ilvl w:val="1"/>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 xml:space="preserve">Opt-1: sharing a single RRC TCI state pool for the set of configured CCs, e.g., cell-group TCI state pool, or reuse TCI state pool for PDSCH in a reference cell; </w:t>
            </w:r>
            <w:r>
              <w:rPr>
                <w:rFonts w:ascii="Times" w:hAnsi="Times" w:eastAsia="Batang" w:cs="Times"/>
                <w:szCs w:val="24"/>
                <w:shd w:val="clear" w:color="auto" w:fill="FFFFFF"/>
                <w:lang w:val="en-GB" w:eastAsia="en-US"/>
              </w:rPr>
              <w:t>A CC ID for QCL-Type A RS is absent in a TCI state, and the CC ID for QCL-Type A RS is determined according to a target CC of the TCI state.</w:t>
            </w:r>
          </w:p>
          <w:p>
            <w:pPr>
              <w:numPr>
                <w:ilvl w:val="2"/>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eastAsia="en-US"/>
              </w:rPr>
              <w:t>FFS: Whether it is possible that a single TCI state in the pool includes all source RSs from different CCs</w:t>
            </w:r>
          </w:p>
          <w:p>
            <w:pPr>
              <w:numPr>
                <w:ilvl w:val="1"/>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Opt-2: configuring RRC TCI state pool per individual CC</w:t>
            </w:r>
          </w:p>
          <w:p>
            <w:pPr>
              <w:numPr>
                <w:ilvl w:val="0"/>
                <w:numId w:val="9"/>
              </w:numPr>
              <w:snapToGrid w:val="0"/>
              <w:spacing w:after="0"/>
              <w:jc w:val="both"/>
              <w:rPr>
                <w:rFonts w:eastAsia="微软雅黑"/>
                <w:szCs w:val="20"/>
              </w:rPr>
            </w:pPr>
            <w:r>
              <w:rPr>
                <w:rFonts w:ascii="Times" w:hAnsi="Times" w:eastAsia="Batang" w:cs="Times"/>
                <w:szCs w:val="24"/>
                <w:lang w:val="en-GB" w:eastAsia="en-US"/>
              </w:rPr>
              <w:t>FFS: Whether the Rel-17 common beam update across multiple CCs applies to beam indication for single channel (e.g. PDSCH only, single CORESET), a subset of channels, or all channels</w:t>
            </w:r>
          </w:p>
        </w:tc>
      </w:tr>
    </w:tbl>
    <w:p>
      <w:pPr>
        <w:overflowPunct w:val="0"/>
        <w:autoSpaceDE w:val="0"/>
        <w:autoSpaceDN w:val="0"/>
        <w:adjustRightInd w:val="0"/>
        <w:snapToGrid w:val="0"/>
        <w:spacing w:before="60" w:beforeLines="25" w:after="120" w:line="300" w:lineRule="auto"/>
        <w:jc w:val="both"/>
        <w:textAlignment w:val="baseline"/>
        <w:rPr>
          <w:rFonts w:eastAsia="宋体"/>
        </w:rPr>
      </w:pPr>
      <w:r>
        <w:rPr>
          <w:rFonts w:eastAsia="微软雅黑"/>
          <w:szCs w:val="20"/>
        </w:rPr>
        <w:t xml:space="preserve">As a remaining issue, the TCI state pool for CA is still FFS, and </w:t>
      </w:r>
      <w:r>
        <w:rPr>
          <w:rFonts w:eastAsia="宋体"/>
        </w:rPr>
        <w:t>the following two candidate solutions for TCI state pool for CA ha</w:t>
      </w:r>
      <w:r>
        <w:rPr>
          <w:rFonts w:hint="eastAsia" w:eastAsia="宋体"/>
        </w:rPr>
        <w:t>ve</w:t>
      </w:r>
      <w:r>
        <w:rPr>
          <w:rFonts w:eastAsia="宋体"/>
        </w:rPr>
        <w:t xml:space="preserve"> been identified:</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 xml:space="preserve">Opt-1: sharing a single RRC TCI state pool for the set of configured CCs; </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Opt-2: configuring RRC TCI state pool per individual CC</w:t>
      </w:r>
      <w:r>
        <w:rPr>
          <w:rFonts w:hint="eastAsia" w:eastAsia="宋体"/>
        </w:rPr>
        <w:t xml:space="preserve">. </w:t>
      </w:r>
    </w:p>
    <w:p>
      <w:pPr>
        <w:overflowPunct w:val="0"/>
        <w:autoSpaceDE w:val="0"/>
        <w:autoSpaceDN w:val="0"/>
        <w:adjustRightInd w:val="0"/>
        <w:snapToGrid w:val="0"/>
        <w:spacing w:before="60" w:beforeLines="25" w:after="120" w:line="300" w:lineRule="auto"/>
        <w:jc w:val="both"/>
        <w:textAlignment w:val="baseline"/>
        <w:rPr>
          <w:rFonts w:eastAsia="宋体"/>
        </w:rPr>
      </w:pPr>
      <w:r>
        <w:rPr>
          <w:rFonts w:hint="eastAsia" w:eastAsia="宋体"/>
        </w:rPr>
        <w:t>Specifically,</w:t>
      </w:r>
      <w:r>
        <w:rPr>
          <w:rFonts w:eastAsia="宋体"/>
        </w:rPr>
        <w:t xml:space="preserve"> we have the following analysis about the two candidate options above: </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hint="eastAsia" w:eastAsia="宋体"/>
        </w:rPr>
        <w:t>Due to sharing a single RRC TCI state pool for a CC group rather than respective pools per CC, Opt-1 can significantly save RRC overhead over Opt-2, e.g., 1.12kB vs 143.36 kB</w:t>
      </w:r>
      <w:r>
        <w:rPr>
          <w:rFonts w:eastAsia="宋体"/>
        </w:rPr>
        <w:t xml:space="preserve"> [2]</w:t>
      </w:r>
      <w:r>
        <w:rPr>
          <w:rFonts w:hint="eastAsia" w:eastAsia="宋体"/>
        </w:rPr>
        <w:t>.</w:t>
      </w:r>
      <w:r>
        <w:rPr>
          <w:rFonts w:eastAsia="宋体"/>
        </w:rPr>
        <w:t xml:space="preserve"> </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hint="eastAsia" w:eastAsia="宋体"/>
        </w:rPr>
        <w:t>Configuration flexibility of Opt-1 is sufficient for unified TCI indication, considering the identical RS configuration (e.g., TRS) across multiple CCs under the requirement of updating a common beam for all RSs/channels, although losing some flexibility compared with Opt-2.</w:t>
      </w:r>
      <w:r>
        <w:rPr>
          <w:rFonts w:eastAsia="宋体"/>
        </w:rPr>
        <w:t xml:space="preserve"> Therefore, gNB only need</w:t>
      </w:r>
      <w:r>
        <w:rPr>
          <w:rFonts w:hint="eastAsia" w:eastAsia="宋体"/>
        </w:rPr>
        <w:t>s</w:t>
      </w:r>
      <w:r>
        <w:rPr>
          <w:rFonts w:eastAsia="宋体"/>
        </w:rPr>
        <w:t xml:space="preserve"> to guarantee that the RS</w:t>
      </w:r>
      <w:r>
        <w:rPr>
          <w:rFonts w:hint="eastAsia" w:eastAsia="宋体"/>
        </w:rPr>
        <w:t>s</w:t>
      </w:r>
      <w:r>
        <w:rPr>
          <w:rFonts w:eastAsia="宋体"/>
        </w:rPr>
        <w:t xml:space="preserve"> (e.g., TRS) with same ID share the same Tx beam across the CC group, and so the loss related to RRC configuration flexibility should be acceptable.</w:t>
      </w:r>
    </w:p>
    <w:p>
      <w:pPr>
        <w:spacing w:before="120" w:beforeLines="50" w:after="120" w:afterLines="50"/>
        <w:jc w:val="both"/>
        <w:rPr>
          <w:b/>
          <w:i/>
          <w:szCs w:val="20"/>
        </w:rPr>
      </w:pPr>
      <w:r>
        <w:rPr>
          <w:b/>
          <w:i/>
          <w:szCs w:val="20"/>
        </w:rPr>
        <w:t xml:space="preserve">Observation 1: </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Configuration flexibility of Opt-1 is sufficient for unified TCI indication, considering the identical RS configuration (e.g., TRS) across multiple CCs under the requirement of updating a common beam for all RS</w:t>
      </w:r>
      <w:r>
        <w:rPr>
          <w:rFonts w:hint="eastAsia" w:eastAsia="宋体"/>
          <w:i/>
          <w:szCs w:val="20"/>
        </w:rPr>
        <w:t>s</w:t>
      </w:r>
      <w:r>
        <w:rPr>
          <w:i/>
          <w:szCs w:val="20"/>
        </w:rPr>
        <w:t xml:space="preserve">/channels, although losing some flexibility compared with Opt-2.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rPr>
        <w:t>Further, for cross-</w:t>
      </w:r>
      <w:r>
        <w:rPr>
          <w:rFonts w:hint="eastAsia" w:eastAsia="宋体"/>
        </w:rPr>
        <w:t xml:space="preserve">CC </w:t>
      </w:r>
      <w:r>
        <w:rPr>
          <w:rFonts w:hint="eastAsia"/>
        </w:rPr>
        <w:t xml:space="preserve">beam indication based on a single RRC TCI state pool, we have the following analysis on how to determine </w:t>
      </w:r>
      <w:r>
        <w:t>QCL-Type</w:t>
      </w:r>
      <w:r>
        <w:rPr>
          <w:rFonts w:hint="eastAsia" w:eastAsia="宋体"/>
        </w:rPr>
        <w:t>A&amp;</w:t>
      </w:r>
      <w:r>
        <w:rPr>
          <w:rFonts w:hint="eastAsia"/>
        </w:rPr>
        <w:t xml:space="preserve">D parameters (RSs) in a local (or target) CC/BWP according to the </w:t>
      </w:r>
      <w:r>
        <w:rPr>
          <w:rFonts w:eastAsia="宋体"/>
        </w:rPr>
        <w:t>QCL-TypeA</w:t>
      </w:r>
      <w:r>
        <w:rPr>
          <w:rFonts w:hint="eastAsia" w:eastAsia="宋体"/>
        </w:rPr>
        <w:t>&amp;D</w:t>
      </w:r>
      <w:r>
        <w:rPr>
          <w:rFonts w:eastAsia="宋体"/>
        </w:rPr>
        <w:t xml:space="preserve"> RS of TCI state in </w:t>
      </w:r>
      <w:r>
        <w:rPr>
          <w:rFonts w:hint="eastAsia" w:eastAsia="宋体"/>
        </w:rPr>
        <w:t>a</w:t>
      </w:r>
      <w:r>
        <w:rPr>
          <w:rFonts w:eastAsia="宋体"/>
        </w:rPr>
        <w:t xml:space="preserve"> reference CC/BWP</w:t>
      </w:r>
      <w:r>
        <w:rPr>
          <w:rFonts w:hint="eastAsia"/>
        </w:rPr>
        <w:t>.</w:t>
      </w:r>
    </w:p>
    <w:p>
      <w:pPr>
        <w:pStyle w:val="109"/>
        <w:numPr>
          <w:ilvl w:val="0"/>
          <w:numId w:val="11"/>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t xml:space="preserve">QCL-TypeA </w:t>
      </w:r>
      <w:r>
        <w:rPr>
          <w:rFonts w:hint="eastAsia" w:eastAsia="宋体"/>
        </w:rPr>
        <w:t>RS</w:t>
      </w:r>
      <w:r>
        <w:rPr>
          <w:rFonts w:hint="eastAsia"/>
        </w:rPr>
        <w:t>: Considering t</w:t>
      </w:r>
      <w:r>
        <w:t xml:space="preserve">hat QCL-TypeA parameter can NOT be applied for cross-CC indication due to demodulation requirement for accurate time/frequency tracking, </w:t>
      </w:r>
      <w:r>
        <w:rPr>
          <w:rFonts w:hint="eastAsia" w:eastAsia="宋体"/>
        </w:rPr>
        <w:t xml:space="preserve">the </w:t>
      </w:r>
      <w:r>
        <w:t>QCL</w:t>
      </w:r>
      <w:r>
        <w:rPr>
          <w:rFonts w:hint="eastAsia" w:eastAsia="宋体"/>
        </w:rPr>
        <w:t>-</w:t>
      </w:r>
      <w:r>
        <w:t xml:space="preserve">TypeA RS in a </w:t>
      </w:r>
      <w:r>
        <w:rPr>
          <w:rFonts w:hint="eastAsia" w:eastAsia="宋体"/>
        </w:rPr>
        <w:t xml:space="preserve">target </w:t>
      </w:r>
      <w:r>
        <w:t xml:space="preserve">CC/BWP </w:t>
      </w:r>
      <w:r>
        <w:rPr>
          <w:rFonts w:hint="eastAsia" w:eastAsia="宋体"/>
        </w:rPr>
        <w:t>needs to be located in the local CC/BWP.</w:t>
      </w:r>
      <w:r>
        <w:rPr>
          <w:rFonts w:eastAsia="宋体"/>
        </w:rPr>
        <w:t xml:space="preserve"> The QCL-TypeA RS in a target CC/BWP can be obtained according to the QCL-TypeA RS ID indicated by the TCI state in the reference CC/BWP. Specifically, a CC ID for QCL-TypeA RS is absent in a TCI state, and the CC ID for QCL-TypeA RS is determined according to a target CC of the TCI state, which is shown in Figure </w:t>
      </w:r>
      <w:r>
        <w:rPr>
          <w:rFonts w:hint="eastAsia" w:eastAsia="宋体"/>
        </w:rPr>
        <w:t>1</w:t>
      </w:r>
      <w:r>
        <w:rPr>
          <w:rFonts w:eastAsia="宋体"/>
        </w:rPr>
        <w:t>.</w:t>
      </w:r>
    </w:p>
    <w:p>
      <w:pPr>
        <w:overflowPunct w:val="0"/>
        <w:autoSpaceDE w:val="0"/>
        <w:autoSpaceDN w:val="0"/>
        <w:adjustRightInd w:val="0"/>
        <w:snapToGrid w:val="0"/>
        <w:spacing w:before="120" w:beforeLines="50" w:after="120" w:line="300" w:lineRule="auto"/>
        <w:jc w:val="center"/>
        <w:textAlignment w:val="baseline"/>
        <w:rPr>
          <w:rFonts w:eastAsia="宋体"/>
          <w:b/>
          <w:szCs w:val="20"/>
        </w:rPr>
      </w:pPr>
      <w:r>
        <w:object>
          <v:shape id="_x0000_i1025" o:spt="75" type="#_x0000_t75" style="height:46.4pt;width:359.5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1</w:t>
      </w:r>
      <w:r>
        <w:rPr>
          <w:rFonts w:hint="eastAsia"/>
          <w:szCs w:val="20"/>
        </w:rPr>
        <w:t xml:space="preserve"> </w:t>
      </w:r>
      <w:r>
        <w:rPr>
          <w:rFonts w:eastAsia="宋体"/>
          <w:szCs w:val="20"/>
        </w:rPr>
        <w:t>Examples for common TCI state pool, where PDSCH TCI state pool in a reference CC is reused.</w:t>
      </w:r>
    </w:p>
    <w:p>
      <w:pPr>
        <w:pStyle w:val="109"/>
        <w:numPr>
          <w:ilvl w:val="0"/>
          <w:numId w:val="11"/>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t xml:space="preserve">QCL-Type </w:t>
      </w:r>
      <w:r>
        <w:rPr>
          <w:rFonts w:hint="eastAsia" w:eastAsia="宋体"/>
        </w:rPr>
        <w:t>D</w:t>
      </w:r>
      <w:r>
        <w:t xml:space="preserve"> </w:t>
      </w:r>
      <w:r>
        <w:rPr>
          <w:rFonts w:hint="eastAsia" w:eastAsia="宋体"/>
        </w:rPr>
        <w:t>RS</w:t>
      </w:r>
      <w:r>
        <w:rPr>
          <w:rFonts w:hint="eastAsia"/>
        </w:rPr>
        <w:t xml:space="preserve">: In Rel-15, when QCL-TypeD RS is a CSI-RS with repetition, QCL-TypeD RS can be applied for cross-CC beam indication. </w:t>
      </w:r>
      <w:r>
        <w:t>But, when TRS is used as a reference QCL-TypeD RS, there is a rule of same TRS to be applied for both QCL-TypeA and QCL-TypeD</w:t>
      </w:r>
      <w:r>
        <w:rPr>
          <w:rFonts w:hint="eastAsia" w:eastAsia="宋体"/>
        </w:rPr>
        <w:t>.</w:t>
      </w:r>
      <w:r>
        <w:rPr>
          <w:rFonts w:eastAsia="宋体"/>
        </w:rPr>
        <w:t xml:space="preserve"> Therefore, the following two candidates are identified based on email discussion:</w:t>
      </w:r>
    </w:p>
    <w:p>
      <w:pPr>
        <w:numPr>
          <w:ilvl w:val="1"/>
          <w:numId w:val="6"/>
        </w:numPr>
        <w:snapToGrid w:val="0"/>
        <w:spacing w:before="60" w:beforeLines="25" w:after="120" w:afterLines="50" w:line="300" w:lineRule="auto"/>
        <w:jc w:val="both"/>
        <w:rPr>
          <w:rFonts w:eastAsia="宋体"/>
          <w:lang w:val="en-GB"/>
        </w:rPr>
      </w:pPr>
      <w:r>
        <w:rPr>
          <w:rFonts w:eastAsia="宋体"/>
          <w:lang w:val="en-GB"/>
        </w:rPr>
        <w:t>Alt</w:t>
      </w:r>
      <w:r>
        <w:rPr>
          <w:rFonts w:hint="eastAsia" w:eastAsia="宋体"/>
        </w:rPr>
        <w:t>-</w:t>
      </w:r>
      <w:r>
        <w:rPr>
          <w:rFonts w:eastAsia="宋体"/>
          <w:lang w:val="en-GB"/>
        </w:rPr>
        <w:t>1: Separate QCL-TypeD RS</w:t>
      </w:r>
      <w:r>
        <w:rPr>
          <w:rFonts w:hint="eastAsia" w:eastAsia="宋体"/>
        </w:rPr>
        <w:t>s</w:t>
      </w:r>
      <w:r>
        <w:rPr>
          <w:rFonts w:eastAsia="宋体"/>
          <w:lang w:val="en-GB"/>
        </w:rPr>
        <w:t xml:space="preserve"> can be determined from the common TCI state(s) for each of the CCs, as for above QCL-TypeA.</w:t>
      </w:r>
    </w:p>
    <w:p>
      <w:pPr>
        <w:numPr>
          <w:ilvl w:val="1"/>
          <w:numId w:val="6"/>
        </w:numPr>
        <w:snapToGrid w:val="0"/>
        <w:spacing w:before="60" w:beforeLines="25" w:after="120" w:afterLines="50" w:line="300" w:lineRule="auto"/>
        <w:jc w:val="both"/>
        <w:rPr>
          <w:rFonts w:eastAsia="宋体"/>
          <w:lang w:val="en-GB"/>
        </w:rPr>
      </w:pPr>
      <w:r>
        <w:rPr>
          <w:rFonts w:eastAsia="宋体"/>
          <w:lang w:val="en-GB"/>
        </w:rPr>
        <w:t>Alt</w:t>
      </w:r>
      <w:r>
        <w:rPr>
          <w:rFonts w:hint="eastAsia" w:eastAsia="宋体"/>
        </w:rPr>
        <w:t>-</w:t>
      </w:r>
      <w:r>
        <w:rPr>
          <w:rFonts w:eastAsia="宋体"/>
          <w:lang w:val="en-GB"/>
        </w:rPr>
        <w:t>2: Single QCL-TypeD RS is determined from the common TCI state(s) for set of the CCs, and support enhanced QCL chain, e.g., the QCL-TypeA TRS and, if any, QCL-TypeD TRS, in the same/different CSI-RS resources.</w:t>
      </w:r>
    </w:p>
    <w:p>
      <w:pPr>
        <w:pStyle w:val="109"/>
        <w:overflowPunct w:val="0"/>
        <w:autoSpaceDE w:val="0"/>
        <w:autoSpaceDN w:val="0"/>
        <w:adjustRightInd w:val="0"/>
        <w:snapToGrid w:val="0"/>
        <w:spacing w:before="60" w:beforeLines="25" w:after="120" w:line="300" w:lineRule="auto"/>
        <w:ind w:left="360" w:firstLine="0" w:firstLineChars="0"/>
        <w:jc w:val="both"/>
        <w:textAlignment w:val="baseline"/>
        <w:rPr>
          <w:rFonts w:eastAsia="宋体"/>
          <w:lang w:val="en-GB"/>
        </w:rPr>
      </w:pPr>
      <w:r>
        <w:rPr>
          <w:rFonts w:eastAsia="宋体"/>
        </w:rPr>
        <w:t>Since the same QCL-TypeD RS are used for all CC(s) as agreed, Alt-2 is more aligned with the existed agreement and the unified TCI framework. In order to avoid the misalignment of Tx beam applied to QCL-TypeA RS in each of CC and the single QCL-TypeD RS for facilitating UE RS monitoring, e.g., in a band, we can have a rule that the QCL-TypeA RS in each of CC in a CC group corresponding to the indicated TCI state should be QCLed with the single QCL-TypeD RS</w:t>
      </w:r>
      <w:r>
        <w:rPr>
          <w:rFonts w:hint="eastAsia" w:eastAsia="宋体"/>
          <w:lang w:val="en-GB"/>
        </w:rPr>
        <w:t>.</w:t>
      </w:r>
      <w:r>
        <w:rPr>
          <w:rFonts w:eastAsia="宋体"/>
          <w:lang w:val="en-GB"/>
        </w:rPr>
        <w:t xml:space="preserve"> </w:t>
      </w:r>
    </w:p>
    <w:p>
      <w:pPr>
        <w:pStyle w:val="109"/>
        <w:numPr>
          <w:ilvl w:val="255"/>
          <w:numId w:val="0"/>
        </w:num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4:</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宋体"/>
          <w:i/>
        </w:rPr>
        <w:t>.</w:t>
      </w:r>
    </w:p>
    <w:p>
      <w:pPr>
        <w:pStyle w:val="99"/>
        <w:numPr>
          <w:ilvl w:val="0"/>
          <w:numId w:val="6"/>
        </w:numPr>
        <w:snapToGrid w:val="0"/>
        <w:spacing w:before="60" w:beforeLines="25" w:after="60" w:afterLines="25" w:line="300" w:lineRule="auto"/>
        <w:ind w:firstLineChars="0"/>
        <w:jc w:val="both"/>
        <w:rPr>
          <w:rFonts w:eastAsia="宋体"/>
          <w:i/>
          <w:lang w:val="en-GB"/>
        </w:rPr>
      </w:pPr>
      <w:r>
        <w:rPr>
          <w:rFonts w:eastAsia="宋体"/>
          <w:i/>
          <w:lang w:val="en-GB"/>
        </w:rPr>
        <w:t>Regarding QCL-TypeA, a CC ID for QCL-TypeA RS is absent in a TCI state, and the CC ID for QCL-TypeA RS is determined according to a target CC of the TCI state.</w:t>
      </w:r>
    </w:p>
    <w:p>
      <w:pPr>
        <w:pStyle w:val="99"/>
        <w:numPr>
          <w:ilvl w:val="0"/>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Regarding QCL-TypeD, a single QCL-TypeD RS is determined from the common TCI state(s) for set of the CCs, and support enhanced QCL chain, i.e., the QCL-TypeA TRS and, if any, QCL-TypeD TRS, in the same/different CSI-RS resources (Alt</w:t>
      </w:r>
      <w:r>
        <w:rPr>
          <w:rFonts w:hint="eastAsia" w:eastAsia="宋体"/>
          <w:i/>
        </w:rPr>
        <w:t>-</w:t>
      </w:r>
      <w:r>
        <w:rPr>
          <w:rFonts w:eastAsia="宋体"/>
          <w:i/>
          <w:lang w:val="en-GB"/>
        </w:rPr>
        <w:t>2)</w:t>
      </w:r>
    </w:p>
    <w:p>
      <w:pPr>
        <w:pStyle w:val="99"/>
        <w:numPr>
          <w:ilvl w:val="1"/>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QCL-TypeA RS(s) in each of CCs corresponding to the indicated TCI state should be QCLed with the single QCL-TypeD RS.</w:t>
      </w:r>
    </w:p>
    <w:p>
      <w:pPr>
        <w:widowControl w:val="0"/>
        <w:numPr>
          <w:ilvl w:val="2"/>
          <w:numId w:val="5"/>
        </w:numPr>
        <w:tabs>
          <w:tab w:val="left" w:pos="7938"/>
          <w:tab w:val="clear" w:pos="720"/>
        </w:tabs>
        <w:snapToGrid w:val="0"/>
        <w:spacing w:before="240" w:after="120" w:afterLines="50" w:line="240" w:lineRule="auto"/>
        <w:ind w:left="607" w:hanging="607"/>
        <w:jc w:val="both"/>
        <w:outlineLvl w:val="2"/>
        <w:rPr>
          <w:rFonts w:eastAsia="宋体"/>
          <w:b/>
          <w:bCs/>
          <w:kern w:val="0"/>
          <w:sz w:val="21"/>
          <w:szCs w:val="21"/>
        </w:rPr>
      </w:pPr>
      <w:r>
        <w:rPr>
          <w:rFonts w:hint="eastAsia" w:eastAsia="宋体"/>
          <w:b/>
          <w:bCs/>
          <w:kern w:val="0"/>
          <w:sz w:val="21"/>
          <w:szCs w:val="21"/>
        </w:rPr>
        <w:t>Source RS and target RS</w:t>
      </w:r>
      <w:r>
        <w:rPr>
          <w:rFonts w:eastAsia="宋体"/>
          <w:b/>
          <w:bCs/>
          <w:kern w:val="0"/>
          <w:sz w:val="21"/>
          <w:szCs w:val="21"/>
        </w:rPr>
        <w:t>/channel</w:t>
      </w:r>
      <w:r>
        <w:rPr>
          <w:rFonts w:hint="eastAsia" w:eastAsia="宋体"/>
          <w:b/>
          <w:bCs/>
          <w:kern w:val="0"/>
          <w:sz w:val="21"/>
          <w:szCs w:val="21"/>
        </w:rPr>
        <w:t xml:space="preserve"> for </w:t>
      </w:r>
      <w:r>
        <w:rPr>
          <w:rFonts w:eastAsia="宋体"/>
          <w:b/>
          <w:bCs/>
          <w:kern w:val="0"/>
          <w:sz w:val="21"/>
          <w:szCs w:val="21"/>
        </w:rPr>
        <w:t>DL</w:t>
      </w:r>
      <w:r>
        <w:rPr>
          <w:rFonts w:hint="eastAsia" w:eastAsia="宋体"/>
          <w:b/>
          <w:bCs/>
          <w:kern w:val="0"/>
          <w:sz w:val="21"/>
          <w:szCs w:val="21"/>
        </w:rPr>
        <w:t xml:space="preserve"> TCI state</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In RAN1#104</w:t>
      </w:r>
      <w:r>
        <w:rPr>
          <w:rFonts w:eastAsia="宋体"/>
        </w:rPr>
        <w:t>-</w:t>
      </w:r>
      <w:r>
        <w:rPr>
          <w:rFonts w:hint="eastAsia" w:eastAsia="宋体"/>
        </w:rPr>
        <w:t xml:space="preserve">e, it was agreed to further study whether more RS types can be allowed as source RS for DL and UL TCI state in Rel-17. </w:t>
      </w:r>
      <w:r>
        <w:rPr>
          <w:rFonts w:eastAsia="宋体"/>
        </w:rPr>
        <w:t>Then, in</w:t>
      </w:r>
      <w:r>
        <w:rPr>
          <w:rFonts w:hint="eastAsia" w:eastAsia="宋体"/>
        </w:rPr>
        <w:t xml:space="preserve"> RAN1#104b-e, </w:t>
      </w:r>
      <w:r>
        <w:rPr>
          <w:rFonts w:eastAsia="宋体"/>
        </w:rPr>
        <w:t>the following</w:t>
      </w:r>
      <w:r>
        <w:rPr>
          <w:rFonts w:hint="eastAsia" w:eastAsia="宋体"/>
        </w:rPr>
        <w:t xml:space="preserve"> conclusion was reached that </w:t>
      </w:r>
      <w:r>
        <w:rPr>
          <w:rFonts w:eastAsia="宋体"/>
        </w:rPr>
        <w:t>no consensus in supporting non-BM CSI-RS other than for tracking and non-BM SRS as source RS types for UL TX spatial filter reference</w:t>
      </w:r>
      <w:r>
        <w:rPr>
          <w:rFonts w:hint="eastAsia" w:eastAsia="宋体"/>
        </w:rPr>
        <w:t>. But source RS for DL TCI state is still open.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jc w:val="both"/>
              <w:rPr>
                <w:rFonts w:eastAsia="宋体" w:cs="Times"/>
                <w:b/>
                <w:bCs/>
                <w:szCs w:val="20"/>
                <w:u w:val="single"/>
              </w:rPr>
            </w:pPr>
            <w:r>
              <w:rPr>
                <w:rFonts w:hint="eastAsia" w:cs="Times"/>
                <w:b/>
                <w:bCs/>
                <w:szCs w:val="20"/>
                <w:u w:val="single"/>
              </w:rPr>
              <w:t>Agreement</w:t>
            </w:r>
            <w:r>
              <w:rPr>
                <w:rFonts w:hint="eastAsia" w:eastAsia="宋体" w:cs="Times"/>
                <w:i/>
                <w:iCs/>
                <w:szCs w:val="20"/>
                <w:u w:val="single"/>
              </w:rPr>
              <w:t xml:space="preserve"> </w:t>
            </w:r>
            <w:r>
              <w:rPr>
                <w:rFonts w:eastAsia="宋体" w:cs="Times"/>
                <w:iCs/>
                <w:szCs w:val="20"/>
              </w:rPr>
              <w:t>(</w:t>
            </w:r>
            <w:r>
              <w:rPr>
                <w:rFonts w:eastAsia="宋体"/>
                <w:iCs/>
              </w:rPr>
              <w:t>RAN1#104-e</w:t>
            </w:r>
            <w:r>
              <w:rPr>
                <w:rFonts w:eastAsia="宋体" w:cs="Times"/>
                <w:iCs/>
                <w:szCs w:val="20"/>
              </w:rPr>
              <w:t>)</w:t>
            </w:r>
          </w:p>
          <w:p>
            <w:pPr>
              <w:snapToGrid w:val="0"/>
              <w:spacing w:after="0"/>
              <w:jc w:val="both"/>
              <w:rPr>
                <w:szCs w:val="20"/>
              </w:rPr>
            </w:pPr>
            <w:r>
              <w:rPr>
                <w:szCs w:val="20"/>
              </w:rPr>
              <w:t>On Rel.17 unified TCI framework, the supported</w:t>
            </w:r>
            <w:r>
              <w:rPr>
                <w:rFonts w:eastAsia="DengXian"/>
                <w:szCs w:val="20"/>
              </w:rPr>
              <w:t xml:space="preserve"> source/target QCL relations in the current TS38.214 V16.4.0 is supported for </w:t>
            </w:r>
            <w:r>
              <w:rPr>
                <w:rFonts w:ascii="Times" w:hAnsi="Times" w:eastAsia="Batang" w:cs="Times"/>
                <w:szCs w:val="20"/>
                <w:lang w:val="en-GB" w:eastAsia="en-US"/>
              </w:rPr>
              <w:t>QCL</w:t>
            </w:r>
            <w:r>
              <w:rPr>
                <w:rFonts w:eastAsia="DengXian"/>
                <w:szCs w:val="20"/>
              </w:rPr>
              <w:t xml:space="preserve"> Type D. </w:t>
            </w:r>
            <w:r>
              <w:rPr>
                <w:szCs w:val="20"/>
              </w:rPr>
              <w:t xml:space="preserve"> </w:t>
            </w:r>
          </w:p>
          <w:p>
            <w:pPr>
              <w:pStyle w:val="111"/>
              <w:numPr>
                <w:ilvl w:val="0"/>
                <w:numId w:val="12"/>
              </w:numPr>
              <w:suppressAutoHyphens/>
              <w:autoSpaceDN w:val="0"/>
              <w:snapToGrid w:val="0"/>
              <w:spacing w:after="0" w:line="240" w:lineRule="auto"/>
              <w:ind w:firstLineChars="0"/>
              <w:jc w:val="both"/>
              <w:textAlignment w:val="baseline"/>
              <w:rPr>
                <w:szCs w:val="20"/>
              </w:rPr>
            </w:pPr>
            <w:r>
              <w:rPr>
                <w:szCs w:val="20"/>
              </w:rPr>
              <w:t>Note: This implies that the following source RS types for DL QCL (Type D, for DL RX spatial filter reference) information for DL UE-dedicated reception on PDSCH and all/subset of CORESETs are supported:</w:t>
            </w:r>
          </w:p>
          <w:p>
            <w:pPr>
              <w:pStyle w:val="111"/>
              <w:numPr>
                <w:ilvl w:val="1"/>
                <w:numId w:val="12"/>
              </w:numPr>
              <w:suppressAutoHyphens/>
              <w:autoSpaceDN w:val="0"/>
              <w:snapToGrid w:val="0"/>
              <w:spacing w:after="0" w:line="240" w:lineRule="auto"/>
              <w:ind w:firstLineChars="0"/>
              <w:jc w:val="both"/>
              <w:textAlignment w:val="baseline"/>
              <w:rPr>
                <w:szCs w:val="20"/>
              </w:rPr>
            </w:pPr>
            <w:r>
              <w:rPr>
                <w:szCs w:val="20"/>
              </w:rPr>
              <w:t xml:space="preserve">CSI-RS for beam management </w:t>
            </w:r>
          </w:p>
          <w:p>
            <w:pPr>
              <w:pStyle w:val="111"/>
              <w:numPr>
                <w:ilvl w:val="1"/>
                <w:numId w:val="12"/>
              </w:numPr>
              <w:suppressAutoHyphens/>
              <w:autoSpaceDN w:val="0"/>
              <w:snapToGrid w:val="0"/>
              <w:spacing w:after="0" w:line="240" w:lineRule="auto"/>
              <w:ind w:firstLineChars="0"/>
              <w:jc w:val="both"/>
              <w:textAlignment w:val="baseline"/>
              <w:rPr>
                <w:szCs w:val="20"/>
              </w:rPr>
            </w:pPr>
            <w:r>
              <w:rPr>
                <w:szCs w:val="20"/>
              </w:rPr>
              <w:t>CSI-RS for tracking</w:t>
            </w:r>
          </w:p>
          <w:p>
            <w:pPr>
              <w:pStyle w:val="111"/>
              <w:numPr>
                <w:ilvl w:val="0"/>
                <w:numId w:val="12"/>
              </w:numPr>
              <w:suppressAutoHyphens/>
              <w:autoSpaceDN w:val="0"/>
              <w:snapToGrid w:val="0"/>
              <w:spacing w:after="0" w:line="240" w:lineRule="auto"/>
              <w:ind w:firstLineChars="0"/>
              <w:jc w:val="both"/>
              <w:textAlignment w:val="baseline"/>
              <w:rPr>
                <w:szCs w:val="20"/>
              </w:rPr>
            </w:pPr>
            <w:r>
              <w:rPr>
                <w:szCs w:val="20"/>
              </w:rPr>
              <w:t xml:space="preserve">FFS (to be decided by RAN1#104bis-e): If SSB, CSI-RS for CSI, and/or SRS for BM are also supported as source RS types </w:t>
            </w:r>
          </w:p>
          <w:p>
            <w:pPr>
              <w:snapToGrid w:val="0"/>
              <w:spacing w:after="0"/>
              <w:jc w:val="both"/>
              <w:rPr>
                <w:rFonts w:eastAsia="Batang"/>
                <w:szCs w:val="20"/>
                <w:lang w:val="en-GB" w:eastAsia="en-US"/>
              </w:rPr>
            </w:pPr>
          </w:p>
          <w:p>
            <w:pPr>
              <w:snapToGrid w:val="0"/>
              <w:spacing w:after="0"/>
              <w:jc w:val="both"/>
              <w:rPr>
                <w:rFonts w:eastAsia="宋体"/>
                <w:szCs w:val="20"/>
              </w:rPr>
            </w:pPr>
            <w:r>
              <w:rPr>
                <w:b/>
                <w:szCs w:val="20"/>
                <w:u w:val="single"/>
              </w:rPr>
              <w:t>Conclusion</w:t>
            </w:r>
            <w:r>
              <w:rPr>
                <w:rFonts w:eastAsia="宋体"/>
                <w:bCs/>
                <w:iCs/>
                <w:szCs w:val="20"/>
              </w:rPr>
              <w:t>(</w:t>
            </w:r>
            <w:r>
              <w:rPr>
                <w:rFonts w:eastAsia="宋体"/>
                <w:bCs/>
                <w:iCs/>
              </w:rPr>
              <w:t>RAN1#104b-e</w:t>
            </w:r>
            <w:r>
              <w:rPr>
                <w:rFonts w:eastAsia="宋体"/>
                <w:bCs/>
                <w:iCs/>
                <w:szCs w:val="20"/>
              </w:rPr>
              <w:t>)</w:t>
            </w:r>
          </w:p>
          <w:p>
            <w:pPr>
              <w:snapToGrid w:val="0"/>
              <w:spacing w:after="0" w:line="240" w:lineRule="auto"/>
              <w:jc w:val="both"/>
              <w:rPr>
                <w:szCs w:val="20"/>
              </w:rPr>
            </w:pPr>
            <w:r>
              <w:rPr>
                <w:szCs w:val="20"/>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pPr>
              <w:snapToGrid w:val="0"/>
              <w:spacing w:after="0" w:line="240" w:lineRule="auto"/>
              <w:jc w:val="both"/>
              <w:rPr>
                <w:rFonts w:cs="Times"/>
                <w:b/>
                <w:bCs/>
                <w:szCs w:val="20"/>
              </w:rPr>
            </w:pPr>
            <w:r>
              <w:t>No further discussion in Rel-17</w:t>
            </w:r>
          </w:p>
        </w:tc>
      </w:tr>
    </w:tbl>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 xml:space="preserve">In Rel-16, a DL RS (either CSI-RS or SSB) can be </w:t>
      </w:r>
      <w:r>
        <w:rPr>
          <w:rFonts w:eastAsia="宋体"/>
        </w:rPr>
        <w:t>configured</w:t>
      </w:r>
      <w:r>
        <w:rPr>
          <w:rFonts w:hint="eastAsia" w:eastAsia="宋体"/>
        </w:rPr>
        <w:t xml:space="preserve"> as a source RS to represent a DL RX filter,  and a DL/UL RS (CSI-RS, SSB or SRS) can be </w:t>
      </w:r>
      <w:r>
        <w:rPr>
          <w:rFonts w:eastAsia="宋体"/>
        </w:rPr>
        <w:t>configured</w:t>
      </w:r>
      <w:r>
        <w:rPr>
          <w:rFonts w:hint="eastAsia" w:eastAsia="宋体"/>
        </w:rPr>
        <w:t xml:space="preserve"> as a source RS to represent an UL TX filter. It is well-known that an UL TX spatial filter can be obtained from a DL RX spatial filter, and it is undisputed that the reversed direction is also viable. This may mean that SRS, at least for BM, can be configured as a source RS to represent a DL RX filter.</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hint="eastAsia" w:eastAsia="微软雅黑"/>
          <w:szCs w:val="20"/>
        </w:rPr>
        <w:t>Generally,</w:t>
      </w:r>
      <w:r>
        <w:rPr>
          <w:rFonts w:eastAsia="微软雅黑"/>
          <w:szCs w:val="20"/>
        </w:rPr>
        <w:t xml:space="preserve"> beam management procedure is preformed from DL measurement firstly. Based on the DL measurement results (e.g., multiple candidate DL Tx beams), SRS is configured with </w:t>
      </w:r>
      <w:r>
        <w:rPr>
          <w:rFonts w:eastAsia="微软雅黑"/>
          <w:i/>
          <w:szCs w:val="20"/>
        </w:rPr>
        <w:t>spatialRelationInfo</w:t>
      </w:r>
      <w:r>
        <w:rPr>
          <w:rFonts w:eastAsia="微软雅黑"/>
          <w:szCs w:val="20"/>
        </w:rPr>
        <w:t xml:space="preserve"> of a reference DL RS, and the SRS should be transmitted using the same spatial domain filter as receiving the reference DL RS by the UE.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 xml:space="preserve">It </w:t>
      </w:r>
      <w:r>
        <w:rPr>
          <w:rFonts w:hint="eastAsia" w:eastAsia="微软雅黑"/>
          <w:szCs w:val="20"/>
        </w:rPr>
        <w:t xml:space="preserve">may be argued </w:t>
      </w:r>
      <w:r>
        <w:rPr>
          <w:rFonts w:eastAsia="微软雅黑"/>
          <w:szCs w:val="20"/>
        </w:rPr>
        <w:t xml:space="preserve">that we can use the reference DL RS directly in the TCI state, and benefits of introducing SRS become weak. </w:t>
      </w:r>
      <w:r>
        <w:rPr>
          <w:rFonts w:hint="eastAsia" w:eastAsia="微软雅黑"/>
          <w:szCs w:val="20"/>
        </w:rPr>
        <w:t xml:space="preserve">However, </w:t>
      </w:r>
      <w:r>
        <w:rPr>
          <w:rFonts w:eastAsia="微软雅黑"/>
          <w:szCs w:val="20"/>
        </w:rPr>
        <w:t>consider</w:t>
      </w:r>
      <w:r>
        <w:rPr>
          <w:rFonts w:hint="eastAsia" w:eastAsia="微软雅黑"/>
          <w:szCs w:val="20"/>
        </w:rPr>
        <w:t>ing</w:t>
      </w:r>
      <w:r>
        <w:rPr>
          <w:rFonts w:eastAsia="微软雅黑"/>
          <w:szCs w:val="20"/>
        </w:rPr>
        <w:t xml:space="preserve"> beam refinement of SRS around a reference DL RS, like RRC parameter </w:t>
      </w:r>
      <w:r>
        <w:rPr>
          <w:rFonts w:eastAsia="微软雅黑"/>
          <w:i/>
          <w:szCs w:val="20"/>
        </w:rPr>
        <w:t>Repetition</w:t>
      </w:r>
      <w:r>
        <w:rPr>
          <w:rFonts w:eastAsia="微软雅黑"/>
          <w:szCs w:val="20"/>
        </w:rPr>
        <w:t xml:space="preserve"> for CSI-RS</w:t>
      </w:r>
      <w:r>
        <w:rPr>
          <w:rFonts w:hint="eastAsia" w:eastAsia="微软雅黑"/>
          <w:szCs w:val="20"/>
        </w:rPr>
        <w:t xml:space="preserve">, it would benefit DL transmission to allow the refined UL beam sate which is reflected by SRS to be source RS for DL TCI state.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 xml:space="preserve">Besides, SSB and CSI-RS for CSI are both downlink </w:t>
      </w:r>
      <w:r>
        <w:rPr>
          <w:rFonts w:eastAsia="宋体"/>
        </w:rPr>
        <w:t>signals</w:t>
      </w:r>
      <w:r>
        <w:rPr>
          <w:rFonts w:hint="eastAsia" w:eastAsia="宋体"/>
        </w:rPr>
        <w:t xml:space="preserve"> and should be allowed to be source RS for DL TX filter</w:t>
      </w:r>
      <w:r>
        <w:rPr>
          <w:rFonts w:eastAsia="宋体"/>
        </w:rPr>
        <w:t>, especially for CSI-RS for CSI that has already been supported in the Rel-15/16 QCL rule</w:t>
      </w:r>
      <w:r>
        <w:rPr>
          <w:rFonts w:hint="eastAsia" w:eastAsia="宋体"/>
        </w:rPr>
        <w:t>.</w:t>
      </w:r>
      <w:r>
        <w:rPr>
          <w:rFonts w:eastAsia="宋体"/>
        </w:rPr>
        <w:t xml:space="preserve">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szCs w:val="20"/>
        </w:rPr>
      </w:pPr>
      <w:r>
        <w:rPr>
          <w:rFonts w:hint="eastAsia" w:eastAsia="宋体"/>
        </w:rPr>
        <w:t xml:space="preserve">As for target RS of </w:t>
      </w:r>
      <w:r>
        <w:rPr>
          <w:rFonts w:hint="eastAsia" w:eastAsia="宋体"/>
          <w:szCs w:val="20"/>
        </w:rPr>
        <w:t>DL TCI state or joint DL and UL TCI state, we support aperiodic CSI-RS for CSI</w:t>
      </w:r>
      <w:r>
        <w:rPr>
          <w:rFonts w:eastAsia="宋体"/>
          <w:szCs w:val="20"/>
        </w:rPr>
        <w:t xml:space="preserve"> and </w:t>
      </w:r>
      <w:r>
        <w:rPr>
          <w:rFonts w:hint="eastAsia" w:eastAsia="宋体"/>
          <w:szCs w:val="20"/>
        </w:rPr>
        <w:t xml:space="preserve">for </w:t>
      </w:r>
      <w:r>
        <w:rPr>
          <w:rFonts w:eastAsia="宋体"/>
          <w:szCs w:val="20"/>
        </w:rPr>
        <w:t>BM that can be applied based on the default beam mechanism in Rel-15/16</w:t>
      </w:r>
      <w:r>
        <w:rPr>
          <w:rFonts w:hint="eastAsia" w:eastAsia="宋体"/>
          <w:szCs w:val="20"/>
        </w:rPr>
        <w:t xml:space="preserve">. </w:t>
      </w:r>
      <w:r>
        <w:rPr>
          <w:rFonts w:eastAsia="宋体"/>
          <w:szCs w:val="20"/>
        </w:rPr>
        <w:t xml:space="preserve">For instance, </w:t>
      </w:r>
      <w:r>
        <w:rPr>
          <w:rFonts w:hint="eastAsia" w:eastAsia="宋体"/>
          <w:szCs w:val="20"/>
        </w:rPr>
        <w:t xml:space="preserve">CSI-RS for CSI is mainly used for DL transmission and most probably share the same beam as DL transmission. However, </w:t>
      </w:r>
      <w:r>
        <w:rPr>
          <w:rFonts w:eastAsia="宋体"/>
          <w:szCs w:val="20"/>
        </w:rPr>
        <w:t xml:space="preserve">it should be noticed that </w:t>
      </w:r>
      <w:r>
        <w:rPr>
          <w:rFonts w:hint="eastAsia" w:eastAsia="宋体"/>
          <w:szCs w:val="20"/>
        </w:rPr>
        <w:t>periodic and semi-persistent CSI-RS should be precluded for this enhancement.</w:t>
      </w:r>
      <w:r>
        <w:rPr>
          <w:rFonts w:eastAsia="宋体"/>
          <w:szCs w:val="20"/>
        </w:rPr>
        <w:t xml:space="preserve">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szCs w:val="20"/>
        </w:rPr>
      </w:pPr>
      <w:r>
        <w:rPr>
          <w:rFonts w:eastAsia="宋体"/>
          <w:szCs w:val="20"/>
        </w:rPr>
        <w:t xml:space="preserve">Firstly, the periodic CSI-RS is usually configured as a source RS for determining the QCL assumption, and if the periodic CSI-RS is indicated as both reference and target RS, the QCL chain becomes a weird closed-loop.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szCs w:val="20"/>
        </w:rPr>
      </w:pPr>
      <w:r>
        <w:rPr>
          <w:rFonts w:eastAsia="宋体"/>
          <w:szCs w:val="20"/>
        </w:rPr>
        <w:t xml:space="preserve">Then, in order to save RS overhead, the periodic RS is cell-specific RS from gNB perspective, and we have to experience very huge RS overhead once we </w:t>
      </w:r>
      <w:r>
        <w:rPr>
          <w:rFonts w:hint="eastAsia" w:eastAsia="宋体"/>
          <w:szCs w:val="20"/>
        </w:rPr>
        <w:t xml:space="preserve">allow </w:t>
      </w:r>
      <w:r>
        <w:rPr>
          <w:rFonts w:eastAsia="宋体"/>
          <w:szCs w:val="20"/>
        </w:rPr>
        <w:t xml:space="preserve">to configure UE-specific periodic RS for facilitating the dynamic/UE-specific TCI update, unless that the TCI state can further adjust a time-domain offset of CSI-RS for CSI in order to match cell-specific CSI-RS/TCI time pattern in gNB side.  </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5:</w:t>
      </w:r>
      <w:r>
        <w:rPr>
          <w:rFonts w:hint="eastAsia" w:eastAsia="微软雅黑"/>
          <w:i/>
          <w:szCs w:val="20"/>
          <w:lang w:val="en-GB"/>
        </w:rPr>
        <w:t xml:space="preserve"> </w:t>
      </w:r>
      <w:r>
        <w:rPr>
          <w:rFonts w:hint="eastAsia" w:eastAsia="微软雅黑"/>
          <w:i/>
          <w:szCs w:val="20"/>
        </w:rPr>
        <w:t>Regarding source RS and target RS</w:t>
      </w:r>
      <w:r>
        <w:rPr>
          <w:rFonts w:eastAsia="微软雅黑"/>
          <w:i/>
          <w:szCs w:val="20"/>
        </w:rPr>
        <w:t>/channels</w:t>
      </w:r>
      <w:r>
        <w:rPr>
          <w:rFonts w:hint="eastAsia" w:eastAsia="微软雅黑"/>
          <w:i/>
          <w:szCs w:val="20"/>
        </w:rPr>
        <w:t xml:space="preserve"> for DL TCI state,</w:t>
      </w:r>
    </w:p>
    <w:p>
      <w:pPr>
        <w:pStyle w:val="99"/>
        <w:numPr>
          <w:ilvl w:val="0"/>
          <w:numId w:val="13"/>
        </w:numPr>
        <w:snapToGrid w:val="0"/>
        <w:spacing w:before="60" w:beforeLines="25" w:after="60" w:afterLines="25"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can be </w:t>
      </w:r>
      <w:r>
        <w:rPr>
          <w:i/>
          <w:iCs/>
          <w:szCs w:val="20"/>
        </w:rPr>
        <w:t>supported as source RS types</w:t>
      </w:r>
      <w:r>
        <w:rPr>
          <w:rFonts w:eastAsia="宋体"/>
          <w:i/>
          <w:iCs/>
          <w:szCs w:val="20"/>
        </w:rPr>
        <w:t xml:space="preserve"> for DL TCI state;</w:t>
      </w:r>
    </w:p>
    <w:p>
      <w:pPr>
        <w:pStyle w:val="99"/>
        <w:numPr>
          <w:ilvl w:val="0"/>
          <w:numId w:val="13"/>
        </w:numPr>
        <w:snapToGrid w:val="0"/>
        <w:spacing w:before="60" w:beforeLines="25" w:after="60" w:afterLines="25" w:line="300" w:lineRule="auto"/>
        <w:ind w:firstLineChars="0"/>
        <w:jc w:val="both"/>
        <w:rPr>
          <w:rFonts w:eastAsia="微软雅黑"/>
          <w:i/>
          <w:iCs/>
          <w:szCs w:val="20"/>
        </w:rPr>
      </w:pPr>
      <w:r>
        <w:rPr>
          <w:i/>
          <w:iCs/>
          <w:szCs w:val="20"/>
        </w:rPr>
        <w:t>Aperiodic CSI-RS for CSI can be supported as target RS types for DL TCI state;</w:t>
      </w:r>
    </w:p>
    <w:p>
      <w:pPr>
        <w:pStyle w:val="99"/>
        <w:numPr>
          <w:ilvl w:val="1"/>
          <w:numId w:val="13"/>
        </w:numPr>
        <w:snapToGrid w:val="0"/>
        <w:spacing w:before="60" w:beforeLines="25" w:after="60" w:afterLines="25" w:line="300" w:lineRule="auto"/>
        <w:ind w:firstLineChars="0"/>
        <w:jc w:val="both"/>
        <w:rPr>
          <w:rFonts w:eastAsia="微软雅黑"/>
          <w:i/>
          <w:iCs/>
          <w:szCs w:val="20"/>
        </w:rPr>
      </w:pPr>
      <w:r>
        <w:rPr>
          <w:rFonts w:eastAsia="宋体"/>
          <w:i/>
          <w:iCs/>
          <w:szCs w:val="20"/>
        </w:rPr>
        <w:t xml:space="preserve">Note that </w:t>
      </w:r>
      <w:r>
        <w:rPr>
          <w:rFonts w:hint="eastAsia" w:eastAsia="宋体"/>
          <w:i/>
          <w:iCs/>
          <w:szCs w:val="20"/>
        </w:rPr>
        <w:t>periodic and semi-persistent CSI-RS</w:t>
      </w:r>
      <w:r>
        <w:rPr>
          <w:rFonts w:eastAsia="宋体"/>
          <w:i/>
          <w:iCs/>
          <w:szCs w:val="20"/>
        </w:rPr>
        <w:t xml:space="preserve"> (e.g., periodic/semi-persistent CSI-RS</w:t>
      </w:r>
      <w:r>
        <w:rPr>
          <w:rFonts w:hint="eastAsia" w:eastAsia="宋体"/>
          <w:i/>
          <w:iCs/>
          <w:szCs w:val="20"/>
        </w:rPr>
        <w:t xml:space="preserve"> for CSI, and periodic TRS</w:t>
      </w:r>
      <w:r>
        <w:rPr>
          <w:rFonts w:eastAsia="宋体"/>
          <w:i/>
          <w:iCs/>
          <w:szCs w:val="20"/>
        </w:rPr>
        <w:t>)</w:t>
      </w:r>
      <w:r>
        <w:rPr>
          <w:rFonts w:hint="eastAsia" w:eastAsia="宋体"/>
          <w:i/>
          <w:iCs/>
          <w:szCs w:val="20"/>
        </w:rPr>
        <w:t xml:space="preserve"> should NOT b</w:t>
      </w:r>
      <w:r>
        <w:rPr>
          <w:i/>
          <w:iCs/>
          <w:szCs w:val="20"/>
        </w:rPr>
        <w:t>e supported as target RS types for DL TCI state</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微软雅黑"/>
          <w:szCs w:val="20"/>
          <w:lang w:val="en-GB"/>
        </w:rPr>
      </w:pPr>
      <w:r>
        <w:rPr>
          <w:rFonts w:hint="eastAsia" w:eastAsia="微软雅黑"/>
          <w:szCs w:val="20"/>
          <w:lang w:val="en-GB"/>
        </w:rPr>
        <w:t xml:space="preserve">Besides, for RSs/channels </w:t>
      </w:r>
      <w:r>
        <w:rPr>
          <w:rFonts w:eastAsia="微软雅黑"/>
          <w:szCs w:val="20"/>
          <w:lang w:val="en-GB"/>
        </w:rPr>
        <w:t xml:space="preserve">(e.g., periodic and semi-persistent CSI-RS, and SRS for BM) </w:t>
      </w:r>
      <w:r>
        <w:rPr>
          <w:rFonts w:hint="eastAsia" w:eastAsia="微软雅黑"/>
          <w:szCs w:val="20"/>
          <w:lang w:val="en-GB"/>
        </w:rPr>
        <w:t xml:space="preserve">to which Rel-17 unified TCI can NOT apply, Rel-15/16 </w:t>
      </w:r>
      <w:r>
        <w:rPr>
          <w:rFonts w:hint="eastAsia" w:eastAsia="宋体"/>
          <w:szCs w:val="20"/>
        </w:rPr>
        <w:t>signaling</w:t>
      </w:r>
      <w:r>
        <w:rPr>
          <w:rFonts w:hint="eastAsia" w:eastAsia="微软雅黑"/>
          <w:szCs w:val="20"/>
          <w:lang w:val="en-GB"/>
        </w:rPr>
        <w:t xml:space="preserve"> mechanisms are used.</w:t>
      </w:r>
      <w:r>
        <w:rPr>
          <w:rFonts w:eastAsia="微软雅黑"/>
          <w:szCs w:val="20"/>
          <w:lang w:val="en-GB"/>
        </w:rPr>
        <w:t xml:space="preserve"> For DL, t</w:t>
      </w:r>
      <w:r>
        <w:rPr>
          <w:rFonts w:hint="eastAsia" w:eastAsia="微软雅黑"/>
          <w:szCs w:val="20"/>
          <w:lang w:val="en-GB"/>
        </w:rPr>
        <w:t>hose RSs/channels also share the same/single RRC TCI state pool as for unified TCI framework</w:t>
      </w:r>
      <w:r>
        <w:rPr>
          <w:rFonts w:eastAsia="微软雅黑"/>
          <w:szCs w:val="20"/>
          <w:lang w:val="en-GB"/>
        </w:rPr>
        <w:t xml:space="preserve">, and </w:t>
      </w:r>
      <w:r>
        <w:rPr>
          <w:rFonts w:eastAsia="微软雅黑"/>
          <w:szCs w:val="20"/>
          <w:highlight w:val="none"/>
          <w:lang w:val="en-GB"/>
        </w:rPr>
        <w:t>for UL, those RSs/channels can reuse the RRC spatial relation pool as in Rel-15/16.</w:t>
      </w:r>
    </w:p>
    <w:p>
      <w:pPr>
        <w:snapToGrid w:val="0"/>
        <w:spacing w:before="60" w:beforeLines="25" w:after="60" w:afterLines="25" w:line="300" w:lineRule="auto"/>
        <w:jc w:val="both"/>
        <w:rPr>
          <w:rFonts w:eastAsia="微软雅黑"/>
          <w:i/>
          <w:iCs/>
          <w:szCs w:val="20"/>
        </w:rPr>
      </w:pPr>
      <w:r>
        <w:rPr>
          <w:rFonts w:hint="eastAsia" w:eastAsia="微软雅黑"/>
          <w:b/>
          <w:i/>
          <w:szCs w:val="20"/>
          <w:lang w:val="en-GB"/>
        </w:rPr>
        <w:t>P</w:t>
      </w:r>
      <w:r>
        <w:rPr>
          <w:rFonts w:eastAsia="微软雅黑"/>
          <w:b/>
          <w:i/>
          <w:szCs w:val="20"/>
          <w:lang w:val="en-GB"/>
        </w:rPr>
        <w:t>roposal 6:</w:t>
      </w:r>
      <w:r>
        <w:rPr>
          <w:rFonts w:hint="eastAsia" w:eastAsia="微软雅黑"/>
          <w:i/>
          <w:szCs w:val="20"/>
          <w:lang w:val="en-GB"/>
        </w:rPr>
        <w:t xml:space="preserve"> </w:t>
      </w:r>
      <w:r>
        <w:rPr>
          <w:rFonts w:eastAsia="微软雅黑"/>
          <w:i/>
          <w:szCs w:val="20"/>
          <w:lang w:val="en-GB"/>
        </w:rPr>
        <w:t>For</w:t>
      </w:r>
      <w:r>
        <w:rPr>
          <w:rFonts w:eastAsia="微软雅黑"/>
          <w:i/>
          <w:iCs/>
          <w:szCs w:val="20"/>
        </w:rPr>
        <w:t xml:space="preserve"> RSs/channels to which Rel-17 unified TCI can NOT apply, Rel-15/16 signaling mechanisms are reused.</w:t>
      </w:r>
    </w:p>
    <w:p>
      <w:pPr>
        <w:pStyle w:val="111"/>
        <w:numPr>
          <w:ilvl w:val="0"/>
          <w:numId w:val="13"/>
        </w:numPr>
        <w:snapToGrid w:val="0"/>
        <w:spacing w:before="60" w:beforeLines="25" w:after="60" w:afterLines="25" w:line="300" w:lineRule="auto"/>
        <w:ind w:firstLineChars="0"/>
        <w:jc w:val="both"/>
        <w:rPr>
          <w:rFonts w:eastAsia="微软雅黑"/>
          <w:i/>
          <w:iCs/>
          <w:szCs w:val="20"/>
        </w:rPr>
      </w:pPr>
      <w:r>
        <w:rPr>
          <w:rFonts w:eastAsia="微软雅黑"/>
          <w:i/>
          <w:iCs/>
          <w:szCs w:val="20"/>
        </w:rPr>
        <w:t>For DL RSs/channels, the same/single RRC TCI state pool as for unified TCI framework</w:t>
      </w:r>
      <w:r>
        <w:rPr>
          <w:rFonts w:hint="eastAsia" w:eastAsia="微软雅黑"/>
          <w:i/>
          <w:iCs/>
          <w:szCs w:val="20"/>
        </w:rPr>
        <w:t xml:space="preserve"> </w:t>
      </w:r>
      <w:r>
        <w:rPr>
          <w:rFonts w:eastAsia="微软雅黑"/>
          <w:i/>
          <w:iCs/>
          <w:szCs w:val="20"/>
        </w:rPr>
        <w:t>can be shared.</w:t>
      </w:r>
    </w:p>
    <w:p>
      <w:pPr>
        <w:pStyle w:val="111"/>
        <w:numPr>
          <w:ilvl w:val="0"/>
          <w:numId w:val="13"/>
        </w:numPr>
        <w:snapToGrid w:val="0"/>
        <w:spacing w:before="60" w:beforeLines="25" w:after="60" w:afterLines="25" w:line="300" w:lineRule="auto"/>
        <w:ind w:firstLineChars="0"/>
        <w:jc w:val="both"/>
        <w:rPr>
          <w:rFonts w:eastAsia="微软雅黑"/>
          <w:i/>
          <w:iCs/>
          <w:szCs w:val="20"/>
        </w:rPr>
      </w:pPr>
      <w:r>
        <w:rPr>
          <w:rFonts w:eastAsia="微软雅黑"/>
          <w:i/>
          <w:iCs/>
          <w:szCs w:val="20"/>
        </w:rPr>
        <w:t>For UL RSs/channels, the</w:t>
      </w:r>
      <w:r>
        <w:rPr>
          <w:rFonts w:hint="eastAsia" w:eastAsia="微软雅黑"/>
          <w:i/>
          <w:iCs/>
          <w:szCs w:val="20"/>
        </w:rPr>
        <w:t xml:space="preserve"> RRC spatial relation pool as in Rel-15/16</w:t>
      </w:r>
      <w:r>
        <w:rPr>
          <w:rFonts w:eastAsia="微软雅黑"/>
          <w:i/>
          <w:iCs/>
          <w:szCs w:val="20"/>
        </w:rPr>
        <w:t xml:space="preserve"> can be reused</w:t>
      </w:r>
      <w:r>
        <w:rPr>
          <w:rFonts w:hint="eastAsia" w:eastAsia="微软雅黑"/>
          <w:i/>
          <w:iCs/>
          <w:szCs w:val="20"/>
        </w:rPr>
        <w:t>.</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The number of TCI</w:t>
      </w:r>
      <w:r>
        <w:rPr>
          <w:rFonts w:eastAsia="宋体"/>
          <w:b/>
          <w:bCs/>
          <w:sz w:val="21"/>
          <w:szCs w:val="21"/>
        </w:rPr>
        <w:t xml:space="preserve"> states to be indicated for transmission</w:t>
      </w:r>
    </w:p>
    <w:p>
      <w:pPr>
        <w:snapToGrid w:val="0"/>
        <w:spacing w:before="120" w:after="120" w:afterLines="50" w:line="300" w:lineRule="auto"/>
        <w:jc w:val="both"/>
        <w:rPr>
          <w:rFonts w:eastAsia="宋体"/>
          <w:szCs w:val="20"/>
        </w:rPr>
      </w:pPr>
      <w:r>
        <w:rPr>
          <w:rFonts w:hint="eastAsia" w:eastAsia="宋体"/>
          <w:szCs w:val="20"/>
        </w:rPr>
        <w:t>Regarding the number of TCI state</w:t>
      </w:r>
      <w:r>
        <w:rPr>
          <w:rFonts w:eastAsia="宋体"/>
          <w:szCs w:val="20"/>
        </w:rPr>
        <w:t>s to provide QCL/spatial relation information in an indication command</w:t>
      </w:r>
      <w:r>
        <w:rPr>
          <w:rFonts w:hint="eastAsia" w:eastAsia="宋体"/>
          <w:szCs w:val="20"/>
        </w:rPr>
        <w:t>, i.e. M for DL TCI and N for UL TCI</w:t>
      </w:r>
      <w:r>
        <w:rPr>
          <w:rFonts w:eastAsia="宋体"/>
          <w:szCs w:val="20"/>
        </w:rPr>
        <w:t xml:space="preserve"> as agreed in RAN1#102e</w:t>
      </w:r>
      <w:r>
        <w:rPr>
          <w:rFonts w:hint="eastAsia" w:eastAsia="宋体"/>
          <w:szCs w:val="20"/>
        </w:rPr>
        <w:t xml:space="preserve">, whether the number should be larger than 1 still remains undecided. In our opinion, the number of TCI </w:t>
      </w:r>
      <w:r>
        <w:rPr>
          <w:rFonts w:eastAsia="宋体"/>
          <w:szCs w:val="20"/>
        </w:rPr>
        <w:t>states to be indicated for transmission greater</w:t>
      </w:r>
      <w:r>
        <w:rPr>
          <w:rFonts w:hint="eastAsia" w:eastAsia="宋体"/>
          <w:szCs w:val="20"/>
        </w:rPr>
        <w:t xml:space="preserve"> than 1 is used for </w:t>
      </w:r>
      <w:r>
        <w:rPr>
          <w:rFonts w:eastAsia="宋体"/>
          <w:szCs w:val="20"/>
        </w:rPr>
        <w:t>m</w:t>
      </w:r>
      <w:r>
        <w:rPr>
          <w:rFonts w:hint="eastAsia" w:eastAsia="宋体"/>
          <w:szCs w:val="20"/>
        </w:rPr>
        <w:t xml:space="preserve">TRP scenario. For example, in </w:t>
      </w:r>
      <w:r>
        <w:rPr>
          <w:rFonts w:eastAsia="宋体"/>
          <w:szCs w:val="20"/>
        </w:rPr>
        <w:t>m</w:t>
      </w:r>
      <w:r>
        <w:rPr>
          <w:rFonts w:hint="eastAsia" w:eastAsia="宋体"/>
          <w:szCs w:val="20"/>
        </w:rPr>
        <w:t xml:space="preserve">TRP with S-DCI, a TCI codepoint in a DCI </w:t>
      </w:r>
      <w:r>
        <w:rPr>
          <w:rFonts w:eastAsia="宋体"/>
          <w:szCs w:val="20"/>
        </w:rPr>
        <w:t xml:space="preserve">can </w:t>
      </w:r>
      <w:r>
        <w:rPr>
          <w:rFonts w:hint="eastAsia" w:eastAsia="宋体"/>
          <w:szCs w:val="20"/>
        </w:rPr>
        <w:t xml:space="preserve">indicate two TCI states, each </w:t>
      </w:r>
      <w:r>
        <w:rPr>
          <w:rFonts w:eastAsia="宋体"/>
          <w:szCs w:val="20"/>
        </w:rPr>
        <w:t>of which corresponds to</w:t>
      </w:r>
      <w:r>
        <w:rPr>
          <w:rFonts w:hint="eastAsia" w:eastAsia="宋体"/>
          <w:szCs w:val="20"/>
        </w:rPr>
        <w:t xml:space="preserve"> one </w:t>
      </w:r>
      <w:r>
        <w:rPr>
          <w:rFonts w:eastAsia="宋体"/>
          <w:szCs w:val="20"/>
        </w:rPr>
        <w:t xml:space="preserve">respective </w:t>
      </w:r>
      <w:r>
        <w:rPr>
          <w:rFonts w:hint="eastAsia" w:eastAsia="宋体"/>
          <w:szCs w:val="20"/>
        </w:rPr>
        <w:t xml:space="preserve">TRP. </w:t>
      </w:r>
    </w:p>
    <w:p>
      <w:pPr>
        <w:snapToGrid w:val="0"/>
        <w:spacing w:before="120" w:after="120" w:afterLines="50" w:line="300" w:lineRule="auto"/>
        <w:jc w:val="both"/>
        <w:rPr>
          <w:rFonts w:eastAsia="宋体"/>
          <w:szCs w:val="20"/>
        </w:rPr>
      </w:pPr>
      <w:r>
        <w:rPr>
          <w:rFonts w:hint="eastAsia" w:eastAsia="宋体"/>
          <w:szCs w:val="20"/>
        </w:rPr>
        <w:t xml:space="preserve">Note that it has been discussed several rounds </w:t>
      </w:r>
      <w:r>
        <w:rPr>
          <w:rFonts w:eastAsia="宋体"/>
          <w:szCs w:val="20"/>
        </w:rPr>
        <w:t>for sTRP (i.e., M=N=1)</w:t>
      </w:r>
      <w:r>
        <w:rPr>
          <w:rFonts w:hint="eastAsia" w:eastAsia="宋体"/>
          <w:szCs w:val="20"/>
        </w:rPr>
        <w:t xml:space="preserve"> in recent RAN1 meetings. R</w:t>
      </w:r>
      <w:r>
        <w:rPr>
          <w:rFonts w:eastAsia="宋体"/>
          <w:szCs w:val="20"/>
        </w:rPr>
        <w:t>emaining issues for sTRP</w:t>
      </w:r>
      <w:r>
        <w:rPr>
          <w:rFonts w:hint="eastAsia" w:eastAsia="宋体"/>
          <w:szCs w:val="20"/>
        </w:rPr>
        <w:t xml:space="preserve"> are expected to be addressed in upcoming one or two RAN1 meetings. On the other hand, mTRP is an essential enhancement in Rel-16 and Rel-17 for 5G MIMO, and is reasonable to be supported by unified TCI framework. Regarding the design for DCI and/or MAC CE, even for RRC signaling, how to fulfil the requirements of both sTRP and mTRP is a key consideration when we compare different methods and make final decision for unified TCI framework. </w:t>
      </w:r>
    </w:p>
    <w:p>
      <w:pPr>
        <w:pStyle w:val="111"/>
        <w:numPr>
          <w:ilvl w:val="0"/>
          <w:numId w:val="13"/>
        </w:numPr>
        <w:snapToGrid w:val="0"/>
        <w:spacing w:before="120" w:after="120" w:afterLines="50" w:line="300" w:lineRule="auto"/>
        <w:ind w:firstLineChars="0"/>
        <w:jc w:val="both"/>
        <w:rPr>
          <w:rFonts w:eastAsia="宋体"/>
          <w:szCs w:val="20"/>
        </w:rPr>
      </w:pPr>
      <w:r>
        <w:rPr>
          <w:rFonts w:eastAsia="宋体"/>
          <w:szCs w:val="20"/>
        </w:rPr>
        <w:t xml:space="preserve">For example, a new type MAC CE may be introduced for unified TCI framework. If only considering sTRP, the MAC CE will be simple. But if mTRP is introduced for unified TCI framework later, the new MAC CE for sTRP may not be enhanced for supporting mTRP, then an additional new MAC CE may be needed which seems redundant. Therefore, a new unified MAC CE suitable for both sTRP and mTRP is preferred for facilitating forward compatibility. </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7</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till August meeting (RAN1#106).</w:t>
      </w:r>
    </w:p>
    <w:p>
      <w:pPr>
        <w:numPr>
          <w:ilvl w:val="1"/>
          <w:numId w:val="5"/>
        </w:numPr>
        <w:tabs>
          <w:tab w:val="clear" w:pos="576"/>
        </w:tabs>
        <w:snapToGrid w:val="0"/>
        <w:spacing w:before="240" w:after="120" w:afterLines="50" w:line="240" w:lineRule="auto"/>
        <w:ind w:left="567" w:hanging="567"/>
        <w:jc w:val="both"/>
        <w:outlineLvl w:val="1"/>
        <w:rPr>
          <w:rFonts w:eastAsia="宋体"/>
          <w:b/>
          <w:bCs/>
          <w:sz w:val="24"/>
          <w:szCs w:val="24"/>
        </w:rPr>
      </w:pPr>
      <w:r>
        <w:rPr>
          <w:rFonts w:hint="eastAsia" w:eastAsia="宋体"/>
          <w:b/>
          <w:bCs/>
          <w:sz w:val="24"/>
          <w:szCs w:val="24"/>
        </w:rPr>
        <w:t>Signaling design for DCI based TCI state</w:t>
      </w:r>
      <w:r>
        <w:rPr>
          <w:rFonts w:eastAsia="宋体"/>
          <w:b/>
          <w:bCs/>
          <w:sz w:val="24"/>
          <w:szCs w:val="24"/>
        </w:rPr>
        <w:t xml:space="preserve"> </w:t>
      </w:r>
      <w:r>
        <w:rPr>
          <w:rFonts w:hint="eastAsia" w:eastAsia="宋体"/>
          <w:b/>
          <w:bCs/>
          <w:sz w:val="24"/>
          <w:szCs w:val="24"/>
        </w:rPr>
        <w:t>indication</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n this subsection, we discuss signalling design for the DCI based TCI state indication</w:t>
      </w:r>
      <w:r>
        <w:rPr>
          <w:rFonts w:hint="eastAsia" w:eastAsia="微软雅黑"/>
          <w:szCs w:val="20"/>
        </w:rPr>
        <w:t>, including</w:t>
      </w:r>
      <w:r>
        <w:rPr>
          <w:rFonts w:eastAsia="微软雅黑"/>
          <w:szCs w:val="20"/>
          <w:lang w:val="en-GB"/>
        </w:rPr>
        <w:t xml:space="preserve"> </w:t>
      </w:r>
      <w:r>
        <w:rPr>
          <w:rFonts w:hint="eastAsia" w:eastAsia="微软雅黑"/>
          <w:szCs w:val="20"/>
        </w:rPr>
        <w:t>application time of the TCI state indication</w:t>
      </w:r>
      <w:r>
        <w:rPr>
          <w:rFonts w:eastAsia="微软雅黑"/>
          <w:szCs w:val="20"/>
        </w:rPr>
        <w:t xml:space="preserve"> and applicable scope of the indicated TCI state</w:t>
      </w:r>
      <w:r>
        <w:rPr>
          <w:rFonts w:eastAsia="微软雅黑"/>
          <w:szCs w:val="20"/>
          <w:lang w:val="en-GB"/>
        </w:rPr>
        <w: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Application time of TCI state indication</w:t>
      </w:r>
    </w:p>
    <w:p>
      <w:pPr>
        <w:pStyle w:val="109"/>
        <w:snapToGrid w:val="0"/>
        <w:spacing w:before="120" w:after="120" w:afterLines="50" w:line="300" w:lineRule="auto"/>
        <w:ind w:firstLine="0" w:firstLineChars="0"/>
        <w:jc w:val="both"/>
      </w:pPr>
      <w:r>
        <w:rPr>
          <w:rFonts w:hint="eastAsia" w:eastAsia="宋体"/>
        </w:rPr>
        <w:t>I</w:t>
      </w:r>
      <w:r>
        <w:rPr>
          <w:rFonts w:eastAsia="宋体"/>
        </w:rPr>
        <w:t>n RAN1#10</w:t>
      </w:r>
      <w:r>
        <w:rPr>
          <w:rFonts w:hint="eastAsia" w:eastAsia="宋体"/>
        </w:rPr>
        <w:t>4</w:t>
      </w:r>
      <w:r>
        <w:rPr>
          <w:rFonts w:eastAsia="宋体"/>
        </w:rPr>
        <w:t xml:space="preserve">-e, the </w:t>
      </w:r>
      <w:r>
        <w:t>applicable timing of TCI state indication has been discussed, and the following agreement</w:t>
      </w:r>
      <w:r>
        <w:rPr>
          <w:rFonts w:hint="eastAsia" w:eastAsia="宋体"/>
        </w:rPr>
        <w:t>s</w:t>
      </w:r>
      <w:r>
        <w:t xml:space="preserve"> h</w:t>
      </w:r>
      <w:r>
        <w:rPr>
          <w:rFonts w:hint="eastAsia" w:eastAsia="宋体"/>
        </w:rPr>
        <w:t>ave</w:t>
      </w:r>
      <w:r>
        <w:t xml:space="preserve"> been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pPr>
              <w:numPr>
                <w:ilvl w:val="0"/>
                <w:numId w:val="14"/>
              </w:numPr>
              <w:autoSpaceDN w:val="0"/>
              <w:snapToGrid w:val="0"/>
              <w:spacing w:after="0" w:line="240" w:lineRule="auto"/>
              <w:jc w:val="both"/>
              <w:textAlignment w:val="baseline"/>
              <w:rPr>
                <w:rFonts w:cs="Times"/>
                <w:szCs w:val="20"/>
              </w:rPr>
            </w:pPr>
            <w:r>
              <w:rPr>
                <w:rFonts w:cs="Times"/>
                <w:szCs w:val="20"/>
              </w:rPr>
              <w:t>Alt1: the first slot that is at least X ms or Y symbols after the [first/last] symbol of the DCI with the joint or separate DL/UL beam indication</w:t>
            </w:r>
          </w:p>
          <w:p>
            <w:pPr>
              <w:numPr>
                <w:ilvl w:val="0"/>
                <w:numId w:val="14"/>
              </w:numPr>
              <w:autoSpaceDN w:val="0"/>
              <w:snapToGrid w:val="0"/>
              <w:spacing w:after="0" w:line="240" w:lineRule="auto"/>
              <w:jc w:val="both"/>
              <w:textAlignment w:val="baseline"/>
              <w:rPr>
                <w:rFonts w:cs="Times"/>
                <w:szCs w:val="20"/>
              </w:rPr>
            </w:pPr>
            <w:r>
              <w:rPr>
                <w:rFonts w:cs="Times"/>
                <w:szCs w:val="20"/>
              </w:rPr>
              <w:t xml:space="preserve">Alt2A: the first slot that is at least X ms or Y symbols after the [first/last] symbol of the acknowledgment of the joint or separate DL/UL beam indication </w:t>
            </w:r>
          </w:p>
          <w:p>
            <w:pPr>
              <w:numPr>
                <w:ilvl w:val="0"/>
                <w:numId w:val="14"/>
              </w:numPr>
              <w:autoSpaceDN w:val="0"/>
              <w:snapToGrid w:val="0"/>
              <w:spacing w:after="0" w:line="240" w:lineRule="auto"/>
              <w:jc w:val="both"/>
              <w:textAlignment w:val="baseline"/>
              <w:rPr>
                <w:rFonts w:cs="Times"/>
                <w:szCs w:val="20"/>
              </w:rPr>
            </w:pPr>
            <w:r>
              <w:rPr>
                <w:rFonts w:cs="Times"/>
                <w:szCs w:val="20"/>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pPr>
              <w:numPr>
                <w:ilvl w:val="0"/>
                <w:numId w:val="14"/>
              </w:numPr>
              <w:autoSpaceDN w:val="0"/>
              <w:snapToGrid w:val="0"/>
              <w:spacing w:after="0" w:line="240" w:lineRule="auto"/>
              <w:jc w:val="both"/>
              <w:textAlignment w:val="baseline"/>
              <w:rPr>
                <w:rFonts w:cs="Times"/>
                <w:szCs w:val="20"/>
              </w:rPr>
            </w:pPr>
            <w:r>
              <w:rPr>
                <w:rFonts w:cs="Times"/>
                <w:szCs w:val="20"/>
              </w:rPr>
              <w:t>Alt2C: Support both Alt1 and Alt2A, and introduce a UE capability that indicates the support of Alt1 or Alt2A</w:t>
            </w:r>
          </w:p>
          <w:p>
            <w:pPr>
              <w:numPr>
                <w:ilvl w:val="0"/>
                <w:numId w:val="14"/>
              </w:numPr>
              <w:autoSpaceDN w:val="0"/>
              <w:snapToGrid w:val="0"/>
              <w:spacing w:after="0" w:line="240" w:lineRule="auto"/>
              <w:jc w:val="both"/>
              <w:textAlignment w:val="baseline"/>
              <w:rPr>
                <w:rFonts w:cs="Times"/>
                <w:szCs w:val="20"/>
              </w:rPr>
            </w:pPr>
            <w:r>
              <w:rPr>
                <w:rFonts w:cs="Times"/>
                <w:szCs w:val="20"/>
              </w:rPr>
              <w:t>Alt3: the first slot that is at least X1 ms or Y1 symbols after the [first/last] symbol of the DCI with beam indication and X2 ms or Y2 symbols after the [first/last] symbol of the acknowledgment of the beam indication</w:t>
            </w:r>
          </w:p>
          <w:p>
            <w:pPr>
              <w:numPr>
                <w:ilvl w:val="0"/>
                <w:numId w:val="14"/>
              </w:numPr>
              <w:autoSpaceDN w:val="0"/>
              <w:snapToGrid w:val="0"/>
              <w:spacing w:after="0" w:line="240" w:lineRule="auto"/>
              <w:jc w:val="both"/>
              <w:textAlignment w:val="baseline"/>
              <w:rPr>
                <w:rFonts w:cs="Times"/>
                <w:szCs w:val="20"/>
              </w:rPr>
            </w:pPr>
            <w:r>
              <w:rPr>
                <w:rFonts w:cs="Times"/>
                <w:szCs w:val="20"/>
              </w:rPr>
              <w:t>FFS: whether any existing timing defined for DCI based TCI/spatial relation update can be used for X/Y</w:t>
            </w:r>
          </w:p>
          <w:p>
            <w:pPr>
              <w:snapToGrid w:val="0"/>
              <w:spacing w:after="0"/>
              <w:jc w:val="both"/>
              <w:rPr>
                <w:rFonts w:cs="Times"/>
                <w:b/>
                <w:bCs/>
                <w:szCs w:val="20"/>
                <w:u w:val="single"/>
              </w:rPr>
            </w:pPr>
          </w:p>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ascii="Calibri" w:hAnsi="Calibri" w:cs="Calibri"/>
                <w:szCs w:val="20"/>
              </w:rPr>
            </w:pPr>
            <w:r>
              <w:rPr>
                <w:rFonts w:cs="Times"/>
                <w:szCs w:val="20"/>
              </w:rPr>
              <w:t xml:space="preserve">On the beam application time for Rel.17 DCI-based beam indication, </w:t>
            </w:r>
            <w:r>
              <w:rPr>
                <w:szCs w:val="20"/>
              </w:rPr>
              <w:t>the beam application time can be configured by the gNB based on UE capability</w:t>
            </w:r>
          </w:p>
          <w:p>
            <w:pPr>
              <w:numPr>
                <w:ilvl w:val="0"/>
                <w:numId w:val="14"/>
              </w:numPr>
              <w:autoSpaceDN w:val="0"/>
              <w:snapToGrid w:val="0"/>
              <w:spacing w:after="0" w:line="240" w:lineRule="auto"/>
              <w:jc w:val="both"/>
              <w:textAlignment w:val="baseline"/>
              <w:rPr>
                <w:szCs w:val="20"/>
              </w:rPr>
            </w:pPr>
            <w:r>
              <w:rPr>
                <w:szCs w:val="20"/>
              </w:rPr>
              <w:t>Support a UE capability for the minimum value of beam application time</w:t>
            </w:r>
          </w:p>
          <w:p>
            <w:pPr>
              <w:numPr>
                <w:ilvl w:val="0"/>
                <w:numId w:val="14"/>
              </w:numPr>
              <w:autoSpaceDN w:val="0"/>
              <w:snapToGrid w:val="0"/>
              <w:spacing w:after="0" w:line="240" w:lineRule="auto"/>
              <w:jc w:val="both"/>
              <w:textAlignment w:val="baseline"/>
              <w:rPr>
                <w:szCs w:val="20"/>
              </w:rPr>
            </w:pPr>
            <w:r>
              <w:rPr>
                <w:szCs w:val="20"/>
              </w:rPr>
              <w:t xml:space="preserve">FFS: the exact minimum values of beam application time supported by UE </w:t>
            </w:r>
          </w:p>
          <w:p>
            <w:pPr>
              <w:numPr>
                <w:ilvl w:val="0"/>
                <w:numId w:val="14"/>
              </w:numPr>
              <w:autoSpaceDN w:val="0"/>
              <w:snapToGrid w:val="0"/>
              <w:spacing w:after="0" w:line="240" w:lineRule="auto"/>
              <w:jc w:val="both"/>
              <w:textAlignment w:val="baseline"/>
              <w:rPr>
                <w:szCs w:val="20"/>
              </w:rPr>
            </w:pPr>
            <w:r>
              <w:rPr>
                <w:szCs w:val="20"/>
              </w:rPr>
              <w:t>FFS: whether existing UE capability can be reused as this UE capability.</w:t>
            </w:r>
          </w:p>
          <w:p>
            <w:pPr>
              <w:numPr>
                <w:ilvl w:val="0"/>
                <w:numId w:val="14"/>
              </w:numPr>
              <w:autoSpaceDN w:val="0"/>
              <w:snapToGrid w:val="0"/>
              <w:spacing w:after="0" w:line="240" w:lineRule="auto"/>
              <w:jc w:val="both"/>
              <w:textAlignment w:val="baseline"/>
              <w:rPr>
                <w:szCs w:val="20"/>
              </w:rPr>
            </w:pPr>
            <w:r>
              <w:rPr>
                <w:szCs w:val="20"/>
              </w:rPr>
              <w:t>FFS: whether different beam application time values are supported for uplink and downlink</w:t>
            </w:r>
          </w:p>
          <w:p>
            <w:pPr>
              <w:numPr>
                <w:ilvl w:val="0"/>
                <w:numId w:val="14"/>
              </w:numPr>
              <w:autoSpaceDN w:val="0"/>
              <w:snapToGrid w:val="0"/>
              <w:spacing w:after="0" w:line="240" w:lineRule="auto"/>
              <w:jc w:val="both"/>
              <w:textAlignment w:val="baseline"/>
              <w:rPr>
                <w:szCs w:val="20"/>
              </w:rPr>
            </w:pPr>
            <w:r>
              <w:rPr>
                <w:szCs w:val="20"/>
              </w:rPr>
              <w:t>FFS: whether UE capability needs to be introduced for the maximum value of beam application time</w:t>
            </w:r>
          </w:p>
          <w:p>
            <w:pPr>
              <w:numPr>
                <w:ilvl w:val="0"/>
                <w:numId w:val="14"/>
              </w:numPr>
              <w:autoSpaceDN w:val="0"/>
              <w:snapToGrid w:val="0"/>
              <w:spacing w:after="0" w:line="240" w:lineRule="auto"/>
              <w:jc w:val="both"/>
              <w:textAlignment w:val="baseline"/>
              <w:rPr>
                <w:rFonts w:ascii="Calibri" w:hAnsi="Calibri" w:cs="Calibri"/>
                <w:szCs w:val="20"/>
              </w:rPr>
            </w:pPr>
            <w:r>
              <w:rPr>
                <w:szCs w:val="20"/>
              </w:rPr>
              <w:t>FFS: the reference for defining the UE capability (e.g. from DCI reception or ACK transmission)</w:t>
            </w:r>
          </w:p>
          <w:p>
            <w:pPr>
              <w:numPr>
                <w:ilvl w:val="0"/>
                <w:numId w:val="14"/>
              </w:numPr>
              <w:autoSpaceDN w:val="0"/>
              <w:snapToGrid w:val="0"/>
              <w:spacing w:after="0" w:line="240" w:lineRule="auto"/>
              <w:jc w:val="both"/>
              <w:textAlignment w:val="baseline"/>
              <w:rPr>
                <w:szCs w:val="20"/>
              </w:rPr>
            </w:pPr>
            <w:r>
              <w:rPr>
                <w:szCs w:val="20"/>
              </w:rPr>
              <w:t>FFS: whether a UE is allowed to report more than 1 values in case of MPUE</w:t>
            </w:r>
          </w:p>
          <w:p>
            <w:pPr>
              <w:numPr>
                <w:ilvl w:val="0"/>
                <w:numId w:val="14"/>
              </w:numPr>
              <w:autoSpaceDN w:val="0"/>
              <w:snapToGrid w:val="0"/>
              <w:spacing w:after="0" w:line="240" w:lineRule="auto"/>
              <w:jc w:val="both"/>
              <w:textAlignment w:val="baseline"/>
              <w:rPr>
                <w:szCs w:val="18"/>
              </w:rPr>
            </w:pPr>
            <w:r>
              <w:rPr>
                <w:szCs w:val="20"/>
              </w:rPr>
              <w:t>FFS: the application time when DCI and applied channel(s) are on different CCs with same/different SCS(s)s</w:t>
            </w:r>
          </w:p>
        </w:tc>
      </w:tr>
    </w:tbl>
    <w:p>
      <w:pPr>
        <w:pStyle w:val="109"/>
        <w:snapToGrid w:val="0"/>
        <w:spacing w:before="120" w:after="120" w:afterLines="50" w:line="300" w:lineRule="auto"/>
        <w:ind w:firstLine="0" w:firstLineChars="0"/>
        <w:jc w:val="both"/>
        <w:rPr>
          <w:rFonts w:eastAsia="宋体"/>
        </w:rPr>
      </w:pPr>
      <w:r>
        <w:t>The further latency corresponding to decoding HARQ-ACK information and DCI retransmission is needed for the processing of gNB side.</w:t>
      </w:r>
      <w:r>
        <w:rPr>
          <w:rFonts w:hint="eastAsia"/>
        </w:rPr>
        <w:t xml:space="preserve"> </w:t>
      </w:r>
      <w:r>
        <w:t xml:space="preserve">Consequently, for both of the DCI with or without DL assignment, </w:t>
      </w:r>
      <w:r>
        <w:rPr>
          <w:rFonts w:eastAsia="宋体"/>
        </w:rPr>
        <w:t>w</w:t>
      </w:r>
      <w:r>
        <w:rPr>
          <w:rFonts w:hint="eastAsia" w:eastAsia="宋体"/>
        </w:rPr>
        <w:t xml:space="preserve">e prefer </w:t>
      </w:r>
      <w:r>
        <w:rPr>
          <w:rFonts w:eastAsia="宋体"/>
        </w:rPr>
        <w:t>“</w:t>
      </w:r>
      <w:r>
        <w:rPr>
          <w:szCs w:val="20"/>
        </w:rPr>
        <w:t>Alt2</w:t>
      </w:r>
      <w:r>
        <w:rPr>
          <w:rFonts w:hint="eastAsia" w:eastAsia="宋体"/>
          <w:szCs w:val="20"/>
        </w:rPr>
        <w:t>A</w:t>
      </w:r>
      <w:r>
        <w:rPr>
          <w:szCs w:val="20"/>
        </w:rPr>
        <w:t>: the first slot that is at least X ms or Y symbols</w:t>
      </w:r>
      <w:r>
        <w:rPr>
          <w:color w:val="FF0000"/>
          <w:szCs w:val="20"/>
        </w:rPr>
        <w:t xml:space="preserve"> </w:t>
      </w:r>
      <w:r>
        <w:rPr>
          <w:szCs w:val="20"/>
        </w:rPr>
        <w:t>after the acknowledgment of the joint or separate DL/UL beam indication</w:t>
      </w:r>
      <w:r>
        <w:rPr>
          <w:rFonts w:eastAsia="宋体"/>
        </w:rPr>
        <w:t xml:space="preserve">”. </w:t>
      </w:r>
    </w:p>
    <w:p>
      <w:pPr>
        <w:pStyle w:val="109"/>
        <w:snapToGrid w:val="0"/>
        <w:spacing w:before="120" w:after="120" w:afterLines="50" w:line="300" w:lineRule="auto"/>
        <w:ind w:firstLine="0" w:firstLineChars="0"/>
        <w:jc w:val="both"/>
        <w:rPr>
          <w:rFonts w:eastAsia="宋体"/>
        </w:rPr>
      </w:pPr>
      <w:r>
        <w:rPr>
          <w:rFonts w:eastAsia="宋体"/>
        </w:rPr>
        <w:t xml:space="preserve">For </w:t>
      </w:r>
      <w:r>
        <w:rPr>
          <w:rFonts w:hint="eastAsia" w:eastAsia="宋体"/>
        </w:rPr>
        <w:t xml:space="preserve">the </w:t>
      </w:r>
      <w:r>
        <w:rPr>
          <w:rFonts w:eastAsia="宋体"/>
        </w:rPr>
        <w:t>sake of presentation, one example for Alt2</w:t>
      </w:r>
      <w:r>
        <w:rPr>
          <w:rFonts w:hint="eastAsia" w:eastAsia="宋体"/>
        </w:rPr>
        <w:t>A</w:t>
      </w:r>
      <w:r>
        <w:rPr>
          <w:rFonts w:eastAsia="宋体"/>
        </w:rPr>
        <w:t xml:space="preserve"> considering ACK mechanism directly in response to DCI is shown </w:t>
      </w:r>
      <w:r>
        <w:rPr>
          <w:rFonts w:hint="eastAsia" w:eastAsia="宋体"/>
        </w:rPr>
        <w:t>in Figure 2</w:t>
      </w:r>
      <w:r>
        <w:rPr>
          <w:rFonts w:eastAsia="宋体"/>
        </w:rPr>
        <w:t xml:space="preserve">. </w:t>
      </w:r>
      <w:r>
        <w:rPr>
          <w:rFonts w:eastAsia="微软雅黑"/>
          <w:szCs w:val="20"/>
        </w:rPr>
        <w:t>Note that, for semi-static HARQ-ACK codebook, the virtual PDSCH should be assumed in the same slot as the DCI without DL assignment, and the time-domain allocation of the virtual PDSCH within the given slot is determined according to the SLIV of indicated TDRA field.</w:t>
      </w:r>
    </w:p>
    <w:p>
      <w:pPr>
        <w:pStyle w:val="109"/>
        <w:numPr>
          <w:ilvl w:val="0"/>
          <w:numId w:val="6"/>
        </w:numPr>
        <w:snapToGrid w:val="0"/>
        <w:spacing w:before="120" w:after="120" w:afterLines="50" w:line="300" w:lineRule="auto"/>
        <w:ind w:firstLineChars="0"/>
        <w:jc w:val="both"/>
      </w:pPr>
      <w:r>
        <w:rPr>
          <w:rFonts w:hint="eastAsia" w:eastAsia="微软雅黑"/>
          <w:szCs w:val="20"/>
          <w:lang w:val="en-GB"/>
        </w:rPr>
        <w:t xml:space="preserve">Furthermore, </w:t>
      </w:r>
      <w:r>
        <w:rPr>
          <w:rFonts w:eastAsia="微软雅黑"/>
          <w:szCs w:val="20"/>
          <w:lang w:val="en-GB"/>
        </w:rPr>
        <w:t xml:space="preserve">considering the flexibility of beam/panel indication/activation, </w:t>
      </w:r>
      <w:r>
        <w:rPr>
          <w:rFonts w:hint="eastAsia" w:eastAsia="微软雅黑"/>
          <w:szCs w:val="20"/>
          <w:lang w:val="en-GB"/>
        </w:rPr>
        <w:t>the beam application time can</w:t>
      </w:r>
      <w:r>
        <w:rPr>
          <w:rFonts w:hint="eastAsia" w:eastAsia="微软雅黑"/>
          <w:szCs w:val="20"/>
        </w:rPr>
        <w:t xml:space="preserve"> also</w:t>
      </w:r>
      <w:r>
        <w:rPr>
          <w:rFonts w:hint="eastAsia" w:eastAsia="微软雅黑"/>
          <w:szCs w:val="20"/>
          <w:lang w:val="en-GB"/>
        </w:rPr>
        <w:t xml:space="preserve"> be</w:t>
      </w:r>
      <w:r>
        <w:rPr>
          <w:rFonts w:eastAsia="微软雅黑"/>
          <w:szCs w:val="20"/>
          <w:lang w:val="en-GB"/>
        </w:rPr>
        <w:t xml:space="preserve"> dynamically</w:t>
      </w:r>
      <w:r>
        <w:rPr>
          <w:rFonts w:hint="eastAsia" w:eastAsia="微软雅黑"/>
          <w:szCs w:val="20"/>
        </w:rPr>
        <w:t xml:space="preserve"> </w:t>
      </w:r>
      <w:r>
        <w:rPr>
          <w:rFonts w:hint="eastAsia" w:eastAsia="微软雅黑"/>
          <w:szCs w:val="20"/>
          <w:lang w:val="en-GB"/>
        </w:rPr>
        <w:t xml:space="preserve">indicated by </w:t>
      </w:r>
      <w:r>
        <w:rPr>
          <w:rFonts w:hint="eastAsia" w:eastAsia="微软雅黑"/>
          <w:szCs w:val="20"/>
        </w:rPr>
        <w:t xml:space="preserve">the </w:t>
      </w:r>
      <w:r>
        <w:rPr>
          <w:rFonts w:hint="eastAsia" w:eastAsia="微软雅黑"/>
          <w:szCs w:val="20"/>
          <w:lang w:val="en-GB"/>
        </w:rPr>
        <w:t xml:space="preserve">DCI, like </w:t>
      </w:r>
      <w:r>
        <w:rPr>
          <w:rFonts w:hint="eastAsia" w:eastAsia="微软雅黑"/>
          <w:szCs w:val="20"/>
        </w:rPr>
        <w:t xml:space="preserve">indication of the start of </w:t>
      </w:r>
      <w:r>
        <w:rPr>
          <w:rFonts w:hint="eastAsia" w:eastAsia="微软雅黑"/>
          <w:szCs w:val="20"/>
          <w:lang w:val="en-GB"/>
        </w:rPr>
        <w:t>PDSCH</w:t>
      </w:r>
      <w:r>
        <w:rPr>
          <w:rFonts w:hint="eastAsia" w:eastAsia="微软雅黑"/>
          <w:szCs w:val="20"/>
        </w:rPr>
        <w:t xml:space="preserve"> transmission</w:t>
      </w:r>
      <w:r>
        <w:rPr>
          <w:rFonts w:eastAsia="微软雅黑"/>
          <w:szCs w:val="20"/>
          <w:lang w:val="en-GB"/>
        </w:rPr>
        <w:t xml:space="preserve">, especially for DCI without DL assignment. </w:t>
      </w:r>
    </w:p>
    <w:p>
      <w:pPr>
        <w:pStyle w:val="109"/>
        <w:numPr>
          <w:ilvl w:val="0"/>
          <w:numId w:val="6"/>
        </w:numPr>
        <w:snapToGrid w:val="0"/>
        <w:spacing w:before="120" w:after="120" w:afterLines="50" w:line="300" w:lineRule="auto"/>
        <w:ind w:firstLineChars="0"/>
        <w:jc w:val="both"/>
      </w:pPr>
      <w:r>
        <w:t>Th</w:t>
      </w:r>
      <w:r>
        <w:rPr>
          <w:szCs w:val="20"/>
        </w:rPr>
        <w:t>e consideration on the starting point for applying the unified TCI should be taken on for simplifying the beam indication procedure, and then Rel-15/16 default beam/power control mechanism for PDSCH/PUCCH/SRS should NOT be supported on Rel-17 unified TCI framework.</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8</w:t>
      </w:r>
      <w:r>
        <w:rPr>
          <w:rFonts w:hint="eastAsia" w:eastAsia="微软雅黑"/>
          <w:b/>
          <w:bCs/>
          <w:i/>
          <w:iCs/>
          <w:szCs w:val="20"/>
        </w:rPr>
        <w:t>:</w:t>
      </w:r>
      <w:r>
        <w:rPr>
          <w:rFonts w:hint="eastAsia" w:eastAsia="微软雅黑"/>
          <w:i/>
          <w:iCs/>
          <w:szCs w:val="20"/>
        </w:rPr>
        <w:t xml:space="preserve"> Regarding application time of the TCI state indication for both of the DCI with or without DL assignment, the following alternative from RAN1#104-e, should be </w:t>
      </w:r>
      <w:r>
        <w:rPr>
          <w:rFonts w:eastAsia="微软雅黑"/>
          <w:i/>
          <w:iCs/>
          <w:szCs w:val="20"/>
        </w:rPr>
        <w:t>supported</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eastAsia="微软雅黑"/>
          <w:i/>
          <w:iCs/>
          <w:szCs w:val="20"/>
        </w:rPr>
        <w:t>T</w:t>
      </w:r>
      <w:r>
        <w:rPr>
          <w:rFonts w:hint="eastAsia" w:eastAsia="微软雅黑"/>
          <w:i/>
          <w:iCs/>
          <w:szCs w:val="20"/>
        </w:rPr>
        <w:t>he first slot that is at least X ms or Y symbols after the acknowledgment of the joint or separate DL/UL beam indication (Alt2A)</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The beam application time can be indicated by DCI, like Rel-15/16 PDSCH.</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On Rel.17 unified TCI framework, Rel-15/16 default beam/power control mechanism for PDSCH/PUCCH/ SRS is NOT supported</w:t>
      </w:r>
      <w:r>
        <w:rPr>
          <w:rFonts w:eastAsia="微软雅黑"/>
          <w:i/>
          <w:iCs/>
          <w:szCs w:val="20"/>
        </w:rPr>
        <w:t>.</w:t>
      </w:r>
      <w:r>
        <w:rPr>
          <w:rFonts w:hint="eastAsia" w:eastAsia="微软雅黑"/>
          <w:i/>
          <w:iCs/>
          <w:szCs w:val="20"/>
        </w:rPr>
        <w:t xml:space="preserve"> </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Note: it was agreed for configuration of beam application time by gNB based on UE capability</w:t>
      </w:r>
      <w:r>
        <w:rPr>
          <w:rFonts w:eastAsia="微软雅黑"/>
          <w:i/>
          <w:iCs/>
          <w:szCs w:val="20"/>
        </w:rPr>
        <w:t>.</w:t>
      </w:r>
    </w:p>
    <w:p>
      <w:pPr>
        <w:snapToGrid w:val="0"/>
        <w:spacing w:before="120" w:after="120" w:afterLines="50" w:line="300" w:lineRule="auto"/>
        <w:jc w:val="center"/>
      </w:pPr>
      <w:r>
        <w:object>
          <v:shape id="_x0000_i1026" o:spt="75" type="#_x0000_t75" style="height:168.7pt;width:367.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2</w:t>
      </w:r>
      <w:r>
        <w:rPr>
          <w:rFonts w:hint="eastAsia"/>
          <w:szCs w:val="20"/>
        </w:rPr>
        <w:t xml:space="preserve"> </w:t>
      </w:r>
      <w:r>
        <w:rPr>
          <w:szCs w:val="20"/>
        </w:rPr>
        <w:t>A</w:t>
      </w:r>
      <w:r>
        <w:rPr>
          <w:rFonts w:eastAsia="宋体"/>
          <w:szCs w:val="20"/>
        </w:rPr>
        <w:t>pplication time of TCI state indication (i.e., X ms or Y symbols after ACK) for semi-static HARQ-ACK codebook, where virtual PDSCH is assumed in the same slot of the DCI by UE</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Applicable scope of the indicated TCI state</w:t>
      </w:r>
    </w:p>
    <w:p>
      <w:pPr>
        <w:pStyle w:val="109"/>
        <w:widowControl w:val="0"/>
        <w:snapToGrid w:val="0"/>
        <w:spacing w:before="120" w:after="120" w:afterLines="50" w:line="300" w:lineRule="auto"/>
        <w:ind w:firstLine="0" w:firstLineChars="0"/>
        <w:jc w:val="both"/>
        <w:rPr>
          <w:rFonts w:eastAsia="宋体"/>
        </w:rPr>
      </w:pPr>
      <w:r>
        <w:rPr>
          <w:rFonts w:eastAsia="宋体"/>
        </w:rPr>
        <w:t xml:space="preserve">DCI format 1_1 and 1_2 can be used for both joint </w:t>
      </w:r>
      <w:r>
        <w:rPr>
          <w:rFonts w:hint="eastAsia" w:eastAsia="宋体"/>
        </w:rPr>
        <w:t xml:space="preserve">and separate </w:t>
      </w:r>
      <w:r>
        <w:rPr>
          <w:rFonts w:eastAsia="宋体"/>
        </w:rPr>
        <w:t xml:space="preserve">DL and UL TCI state indication. </w:t>
      </w:r>
      <w:r>
        <w:rPr>
          <w:rFonts w:hint="eastAsia" w:eastAsia="宋体"/>
        </w:rPr>
        <w:t>An agreement was reached in RAN1</w:t>
      </w:r>
      <w:r>
        <w:rPr>
          <w:rFonts w:eastAsia="宋体"/>
        </w:rPr>
        <w:t>#</w:t>
      </w:r>
      <w:r>
        <w:rPr>
          <w:rFonts w:hint="eastAsia" w:eastAsia="宋体"/>
        </w:rPr>
        <w:t>104</w:t>
      </w:r>
      <w:r>
        <w:rPr>
          <w:rFonts w:eastAsia="宋体"/>
        </w:rPr>
        <w:t>-</w:t>
      </w:r>
      <w:r>
        <w:rPr>
          <w:rFonts w:hint="eastAsia" w:eastAsia="宋体"/>
        </w:rPr>
        <w:t>e as follows for application scope of the indicated TCI state.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szCs w:val="20"/>
              </w:rPr>
            </w:pPr>
            <w:r>
              <w:rPr>
                <w:b/>
                <w:bCs/>
                <w:szCs w:val="20"/>
                <w:u w:val="single"/>
              </w:rPr>
              <w:t>Agreement</w:t>
            </w:r>
          </w:p>
          <w:p>
            <w:pPr>
              <w:snapToGrid w:val="0"/>
              <w:spacing w:after="0" w:line="240" w:lineRule="auto"/>
              <w:jc w:val="both"/>
              <w:rPr>
                <w:rFonts w:ascii="Calibri" w:hAnsi="Calibri" w:cs="Calibri"/>
                <w:szCs w:val="20"/>
              </w:rPr>
            </w:pPr>
            <w:r>
              <w:rPr>
                <w:szCs w:val="20"/>
              </w:rPr>
              <w:t>On Rel.17 unified TCI framework, by RAN1#104bis-e, down select or modify at least one from the following alternatives:</w:t>
            </w:r>
          </w:p>
          <w:p>
            <w:pPr>
              <w:pStyle w:val="111"/>
              <w:numPr>
                <w:ilvl w:val="0"/>
                <w:numId w:val="15"/>
              </w:numPr>
              <w:autoSpaceDN w:val="0"/>
              <w:snapToGrid w:val="0"/>
              <w:spacing w:after="0" w:line="240" w:lineRule="auto"/>
              <w:ind w:left="720" w:firstLineChars="0"/>
              <w:jc w:val="both"/>
              <w:rPr>
                <w:szCs w:val="20"/>
              </w:rPr>
            </w:pPr>
            <w:r>
              <w:t xml:space="preserve">Alt1. A UE can be dynamically indicated with either joint DL/UL TCI or separate DL/UL TCI </w:t>
            </w:r>
          </w:p>
          <w:p>
            <w:pPr>
              <w:pStyle w:val="111"/>
              <w:numPr>
                <w:ilvl w:val="1"/>
                <w:numId w:val="15"/>
              </w:numPr>
              <w:autoSpaceDN w:val="0"/>
              <w:snapToGrid w:val="0"/>
              <w:spacing w:after="0" w:line="240" w:lineRule="auto"/>
              <w:ind w:left="1440" w:firstLineChars="0"/>
              <w:jc w:val="both"/>
            </w:pPr>
            <w:r>
              <w:t>Details on dynamic indication are FFS</w:t>
            </w:r>
          </w:p>
          <w:p>
            <w:pPr>
              <w:pStyle w:val="111"/>
              <w:numPr>
                <w:ilvl w:val="1"/>
                <w:numId w:val="15"/>
              </w:numPr>
              <w:autoSpaceDN w:val="0"/>
              <w:snapToGrid w:val="0"/>
              <w:spacing w:after="0" w:line="240" w:lineRule="auto"/>
              <w:ind w:left="1440" w:firstLineChars="0"/>
              <w:jc w:val="both"/>
            </w:pPr>
            <w:r>
              <w:t>FFS: UE capability for the support of joint DL/UL TCI and/or separate DL/UL TCI</w:t>
            </w:r>
          </w:p>
          <w:p>
            <w:pPr>
              <w:pStyle w:val="111"/>
              <w:numPr>
                <w:ilvl w:val="0"/>
                <w:numId w:val="15"/>
              </w:numPr>
              <w:autoSpaceDN w:val="0"/>
              <w:snapToGrid w:val="0"/>
              <w:spacing w:after="0" w:line="240" w:lineRule="auto"/>
              <w:ind w:left="720" w:firstLineChars="0"/>
              <w:jc w:val="both"/>
            </w:pPr>
            <w:r>
              <w:t>Alt2A. A UE can be configured with either joint DL/UL TCI or separate DL/UL TCI via RRC signaling</w:t>
            </w:r>
          </w:p>
          <w:p>
            <w:pPr>
              <w:pStyle w:val="111"/>
              <w:numPr>
                <w:ilvl w:val="0"/>
                <w:numId w:val="15"/>
              </w:numPr>
              <w:autoSpaceDN w:val="0"/>
              <w:snapToGrid w:val="0"/>
              <w:spacing w:after="0" w:line="240" w:lineRule="auto"/>
              <w:ind w:left="720" w:firstLineChars="0"/>
              <w:jc w:val="both"/>
            </w:pPr>
            <w:r>
              <w:t>Alt2B. A UE can be configured with either joint DL/UL TCI, separate DL/UL TCI, or both via RRC signaling</w:t>
            </w:r>
          </w:p>
          <w:p>
            <w:pPr>
              <w:pStyle w:val="111"/>
              <w:numPr>
                <w:ilvl w:val="0"/>
                <w:numId w:val="15"/>
              </w:numPr>
              <w:autoSpaceDN w:val="0"/>
              <w:snapToGrid w:val="0"/>
              <w:spacing w:after="0" w:line="240" w:lineRule="auto"/>
              <w:ind w:left="720" w:firstLineChars="0"/>
              <w:jc w:val="both"/>
            </w:pPr>
            <w:r>
              <w:t>Alt3. A UE can be configured with either joint DL/UL TCI or separate DL/UL TCI via MAC CE signaling</w:t>
            </w:r>
          </w:p>
          <w:p>
            <w:pPr>
              <w:pStyle w:val="111"/>
              <w:numPr>
                <w:ilvl w:val="1"/>
                <w:numId w:val="15"/>
              </w:numPr>
              <w:autoSpaceDN w:val="0"/>
              <w:snapToGrid w:val="0"/>
              <w:spacing w:after="0" w:line="240" w:lineRule="auto"/>
              <w:ind w:left="1440" w:firstLineChars="0"/>
              <w:jc w:val="both"/>
              <w:rPr>
                <w:rFonts w:eastAsia="宋体"/>
              </w:rPr>
            </w:pPr>
            <w:r>
              <w:t>Details on how this is signaled in relation to TCI activation are FFS</w:t>
            </w:r>
          </w:p>
        </w:tc>
      </w:tr>
    </w:tbl>
    <w:p>
      <w:pPr>
        <w:pStyle w:val="109"/>
        <w:widowControl w:val="0"/>
        <w:snapToGrid w:val="0"/>
        <w:spacing w:before="120" w:after="120" w:afterLines="50" w:line="300" w:lineRule="auto"/>
        <w:ind w:firstLine="0" w:firstLineChars="0"/>
        <w:jc w:val="both"/>
        <w:rPr>
          <w:rFonts w:eastAsia="宋体"/>
        </w:rPr>
      </w:pPr>
      <w:r>
        <w:rPr>
          <w:rFonts w:hint="eastAsia" w:eastAsia="宋体"/>
        </w:rPr>
        <w:t xml:space="preserve">Among the above alternatives, </w:t>
      </w:r>
      <w:r>
        <w:rPr>
          <w:rFonts w:eastAsia="宋体"/>
        </w:rPr>
        <w:t>Alt1+</w:t>
      </w:r>
      <w:r>
        <w:rPr>
          <w:rFonts w:hint="eastAsia" w:eastAsia="宋体"/>
        </w:rPr>
        <w:t>Alt2B is most flexible</w:t>
      </w:r>
      <w:r>
        <w:rPr>
          <w:rFonts w:eastAsia="宋体"/>
        </w:rPr>
        <w:t>, which means that based on UE capability reporting, gNB can configure one of three modes of joint DL/UL TCI, separate DL/UL TCI, or both via RRC signaling, and then MAC</w:t>
      </w:r>
      <w:r>
        <w:rPr>
          <w:rFonts w:hint="eastAsia" w:eastAsia="宋体"/>
        </w:rPr>
        <w:t>-</w:t>
      </w:r>
      <w:r>
        <w:rPr>
          <w:rFonts w:eastAsia="宋体"/>
        </w:rPr>
        <w:t>CE + DCI can be used for further indicating the applicable scope if the modes of separate DL/UL TCI or both of joint and separate DL/UL TCI is enabled by the RRC</w:t>
      </w:r>
      <w:r>
        <w:rPr>
          <w:rFonts w:hint="eastAsia" w:eastAsia="宋体"/>
        </w:rPr>
        <w:t>.</w:t>
      </w:r>
    </w:p>
    <w:p>
      <w:pPr>
        <w:pStyle w:val="109"/>
        <w:widowControl w:val="0"/>
        <w:numPr>
          <w:ilvl w:val="0"/>
          <w:numId w:val="6"/>
        </w:numPr>
        <w:snapToGrid w:val="0"/>
        <w:spacing w:before="120" w:after="120" w:afterLines="50" w:line="300" w:lineRule="auto"/>
        <w:ind w:firstLineChars="0"/>
        <w:jc w:val="both"/>
        <w:rPr>
          <w:rFonts w:eastAsia="宋体"/>
        </w:rPr>
      </w:pPr>
      <w:r>
        <w:rPr>
          <w:rFonts w:eastAsia="宋体"/>
        </w:rPr>
        <w:t>Re</w:t>
      </w:r>
      <w:r>
        <w:rPr>
          <w:rFonts w:hint="eastAsia" w:eastAsia="宋体"/>
        </w:rPr>
        <w:t xml:space="preserve">garding how to dynamically indicate a TCI state as joint DL/UL or separate DL or UL, as analyzed in Section 2.1.1, the </w:t>
      </w:r>
      <w:r>
        <w:rPr>
          <w:rFonts w:eastAsia="宋体"/>
        </w:rPr>
        <w:t>a</w:t>
      </w:r>
      <w:r>
        <w:rPr>
          <w:rFonts w:hint="eastAsia" w:eastAsia="宋体"/>
        </w:rPr>
        <w:t>pplicable scope such as DL only, UL only, joint DL and UL for a TCI state can be specified by a MAC CE, or by a DCI.</w:t>
      </w:r>
    </w:p>
    <w:p>
      <w:pPr>
        <w:snapToGrid w:val="0"/>
        <w:spacing w:before="120" w:after="120" w:afterLines="50" w:line="300" w:lineRule="auto"/>
        <w:jc w:val="both"/>
        <w:rPr>
          <w:rFonts w:eastAsia="微软雅黑"/>
          <w:i/>
          <w:iCs/>
          <w:szCs w:val="20"/>
        </w:rPr>
      </w:pPr>
      <w:r>
        <w:rPr>
          <w:rFonts w:eastAsia="微软雅黑"/>
          <w:b/>
          <w:bCs/>
          <w:i/>
          <w:iCs/>
          <w:szCs w:val="20"/>
        </w:rPr>
        <w:t>Proposal 9:</w:t>
      </w:r>
      <w:r>
        <w:rPr>
          <w:rFonts w:eastAsia="微软雅黑"/>
          <w:i/>
          <w:iCs/>
          <w:szCs w:val="20"/>
        </w:rPr>
        <w:t xml:space="preserve"> Regarding</w:t>
      </w:r>
      <w:r>
        <w:rPr>
          <w:rFonts w:hint="eastAsia" w:eastAsia="微软雅黑"/>
          <w:i/>
          <w:iCs/>
          <w:szCs w:val="20"/>
        </w:rPr>
        <w:t xml:space="preserve"> joint DL/UL TCI v.s. separate DL/UL TCI, Alt</w:t>
      </w:r>
      <w:r>
        <w:rPr>
          <w:rFonts w:eastAsia="微软雅黑"/>
          <w:i/>
          <w:iCs/>
          <w:szCs w:val="20"/>
        </w:rPr>
        <w:t>1 and Alt</w:t>
      </w:r>
      <w:r>
        <w:rPr>
          <w:rFonts w:hint="eastAsia" w:eastAsia="微软雅黑"/>
          <w:i/>
          <w:iCs/>
          <w:szCs w:val="20"/>
        </w:rPr>
        <w:t>2B</w:t>
      </w:r>
      <w:r>
        <w:rPr>
          <w:rFonts w:eastAsia="宋体"/>
          <w:i/>
          <w:iCs/>
        </w:rPr>
        <w:t xml:space="preserve"> </w:t>
      </w:r>
      <w:r>
        <w:rPr>
          <w:rFonts w:hint="eastAsia" w:eastAsia="微软雅黑"/>
          <w:i/>
          <w:iCs/>
          <w:szCs w:val="20"/>
        </w:rPr>
        <w:t>should be supported.</w:t>
      </w:r>
    </w:p>
    <w:p>
      <w:pPr>
        <w:pStyle w:val="109"/>
        <w:widowControl w:val="0"/>
        <w:numPr>
          <w:ilvl w:val="0"/>
          <w:numId w:val="6"/>
        </w:numPr>
        <w:snapToGrid w:val="0"/>
        <w:spacing w:before="60" w:beforeLines="25" w:after="60" w:afterLines="25" w:line="300" w:lineRule="auto"/>
        <w:ind w:firstLineChars="0"/>
        <w:jc w:val="both"/>
        <w:rPr>
          <w:rFonts w:eastAsia="宋体"/>
          <w:i/>
          <w:iCs/>
        </w:rPr>
      </w:pPr>
      <w:r>
        <w:rPr>
          <w:i/>
          <w:iCs/>
        </w:rPr>
        <w:t>A UE can be configured with either joint DL/UL TCI, separate DL/UL TCI, or both via RRC signaling</w:t>
      </w:r>
      <w:r>
        <w:rPr>
          <w:rFonts w:eastAsia="宋体"/>
          <w:i/>
          <w:iCs/>
        </w:rPr>
        <w:t xml:space="preserve"> </w:t>
      </w:r>
    </w:p>
    <w:p>
      <w:pPr>
        <w:pStyle w:val="109"/>
        <w:widowControl w:val="0"/>
        <w:numPr>
          <w:ilvl w:val="1"/>
          <w:numId w:val="6"/>
        </w:numPr>
        <w:snapToGrid w:val="0"/>
        <w:spacing w:before="60" w:beforeLines="25" w:after="60" w:afterLines="25" w:line="300" w:lineRule="auto"/>
        <w:ind w:firstLineChars="0"/>
        <w:jc w:val="both"/>
        <w:rPr>
          <w:rFonts w:eastAsia="宋体"/>
          <w:i/>
          <w:iCs/>
        </w:rPr>
      </w:pPr>
      <w:r>
        <w:rPr>
          <w:rFonts w:eastAsia="宋体"/>
          <w:i/>
          <w:iCs/>
        </w:rPr>
        <w:t xml:space="preserve">When the UE is configured with modes of separate DL/UL TCI or both joint and separate DL/UL TCI, the UE can be dynamically indicated the applicable scope of a TCI state by </w:t>
      </w:r>
      <w:r>
        <w:rPr>
          <w:rFonts w:eastAsia="微软雅黑"/>
          <w:i/>
          <w:iCs/>
          <w:szCs w:val="20"/>
        </w:rPr>
        <w:t>dynamic</w:t>
      </w:r>
      <w:r>
        <w:rPr>
          <w:rFonts w:eastAsia="宋体"/>
          <w:i/>
          <w:iCs/>
        </w:rPr>
        <w:t xml:space="preserve"> signaling. </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L1/L2-centric</w:t>
      </w:r>
      <w:r>
        <w:rPr>
          <w:rFonts w:eastAsia="宋体"/>
          <w:b/>
          <w:bCs/>
          <w:kern w:val="2"/>
          <w:sz w:val="24"/>
          <w:szCs w:val="24"/>
        </w:rPr>
        <w:t xml:space="preserve"> </w:t>
      </w:r>
      <w:r>
        <w:rPr>
          <w:rFonts w:hint="eastAsia" w:eastAsia="宋体"/>
          <w:b/>
          <w:bCs/>
          <w:kern w:val="2"/>
          <w:sz w:val="24"/>
          <w:szCs w:val="24"/>
        </w:rPr>
        <w:t>inter-cell mobility</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Dynamic activation/deactivation SSB of non-serving cell</w:t>
      </w:r>
    </w:p>
    <w:p>
      <w:pPr>
        <w:pStyle w:val="109"/>
        <w:numPr>
          <w:ilvl w:val="255"/>
          <w:numId w:val="0"/>
        </w:numPr>
        <w:snapToGrid w:val="0"/>
        <w:spacing w:before="60" w:beforeLines="25" w:after="60" w:afterLines="25" w:line="300" w:lineRule="auto"/>
        <w:jc w:val="both"/>
        <w:rPr>
          <w:rFonts w:eastAsia="宋体"/>
          <w:szCs w:val="20"/>
        </w:rPr>
      </w:pPr>
      <w:r>
        <w:rPr>
          <w:rFonts w:hint="eastAsia" w:eastAsia="宋体"/>
          <w:szCs w:val="20"/>
        </w:rPr>
        <w:t xml:space="preserve">In RAN1#104b-e, there is following agreement about L1/L2-centric inter-cell reporting.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r>
              <w:rPr>
                <w:rFonts w:hint="eastAsia" w:eastAsia="宋体" w:cs="Times"/>
                <w:b/>
                <w:bCs/>
                <w:szCs w:val="20"/>
                <w:u w:val="single"/>
              </w:rPr>
              <w:t xml:space="preserve"> #1</w:t>
            </w:r>
          </w:p>
          <w:p>
            <w:pPr>
              <w:pStyle w:val="111"/>
              <w:numPr>
                <w:ilvl w:val="255"/>
                <w:numId w:val="0"/>
              </w:numPr>
              <w:autoSpaceDN w:val="0"/>
              <w:snapToGrid w:val="0"/>
              <w:spacing w:after="0" w:line="240" w:lineRule="auto"/>
              <w:jc w:val="both"/>
              <w:rPr>
                <w:rFonts w:cs="Times"/>
              </w:rPr>
            </w:pPr>
            <w:r>
              <w:rPr>
                <w:rFonts w:cs="Times"/>
              </w:rPr>
              <w:t xml:space="preserve">On Rel.17 multi-beam measurement/reporting enhancements for L1/L2-centric inter-cell mobility and inter-cell mTRP, </w:t>
            </w:r>
          </w:p>
          <w:p>
            <w:pPr>
              <w:pStyle w:val="111"/>
              <w:numPr>
                <w:ilvl w:val="0"/>
                <w:numId w:val="16"/>
              </w:numPr>
              <w:autoSpaceDN w:val="0"/>
              <w:snapToGrid w:val="0"/>
              <w:spacing w:after="0" w:line="240" w:lineRule="auto"/>
              <w:ind w:firstLineChars="0"/>
              <w:rPr>
                <w:rFonts w:cs="Times"/>
              </w:rPr>
            </w:pPr>
            <w:r>
              <w:rPr>
                <w:rFonts w:cs="Times"/>
              </w:rPr>
              <w:t xml:space="preserve">On the value of K (defined in RAN1#104-e as the number of beam qualities associated at least with non-serving cell(s) can be reported in a single CSI reporting instance), </w:t>
            </w:r>
          </w:p>
          <w:p>
            <w:pPr>
              <w:pStyle w:val="111"/>
              <w:numPr>
                <w:ilvl w:val="0"/>
                <w:numId w:val="17"/>
              </w:numPr>
              <w:autoSpaceDN w:val="0"/>
              <w:snapToGrid w:val="0"/>
              <w:spacing w:after="0" w:line="240" w:lineRule="auto"/>
              <w:ind w:firstLine="400"/>
              <w:rPr>
                <w:rFonts w:cs="Times"/>
              </w:rPr>
            </w:pPr>
            <w:r>
              <w:rPr>
                <w:rFonts w:cs="Times"/>
              </w:rPr>
              <w:t>For the supported maximum value(s) of K, down-select at least one from the following candidates {4, 8, 16}</w:t>
            </w:r>
          </w:p>
          <w:p>
            <w:pPr>
              <w:pStyle w:val="111"/>
              <w:numPr>
                <w:ilvl w:val="0"/>
                <w:numId w:val="17"/>
              </w:numPr>
              <w:autoSpaceDN w:val="0"/>
              <w:snapToGrid w:val="0"/>
              <w:spacing w:after="0" w:line="240" w:lineRule="auto"/>
              <w:ind w:firstLine="400"/>
              <w:rPr>
                <w:rFonts w:cs="Times"/>
              </w:rPr>
            </w:pPr>
            <w:r>
              <w:rPr>
                <w:rFonts w:cs="Times"/>
              </w:rPr>
              <w:t>FFS: whether the maximum value of K is a UE capability</w:t>
            </w:r>
          </w:p>
          <w:p>
            <w:pPr>
              <w:pStyle w:val="111"/>
              <w:numPr>
                <w:ilvl w:val="0"/>
                <w:numId w:val="18"/>
              </w:numPr>
              <w:autoSpaceDN w:val="0"/>
              <w:snapToGrid w:val="0"/>
              <w:spacing w:after="0" w:line="240" w:lineRule="auto"/>
              <w:ind w:hanging="20" w:firstLineChars="0"/>
              <w:rPr>
                <w:rFonts w:cs="Times"/>
              </w:rPr>
            </w:pPr>
            <w:r>
              <w:rPr>
                <w:rFonts w:cs="Times"/>
                <w:highlight w:val="yellow"/>
              </w:rPr>
              <w:t>Periodic, semi-persistent, and aperiodic reporting</w:t>
            </w:r>
            <w:r>
              <w:rPr>
                <w:rFonts w:cs="Times"/>
              </w:rPr>
              <w:t xml:space="preserve"> (and the respective measurements) are supported.</w:t>
            </w:r>
          </w:p>
          <w:p>
            <w:pPr>
              <w:pStyle w:val="111"/>
              <w:numPr>
                <w:ilvl w:val="0"/>
                <w:numId w:val="17"/>
              </w:numPr>
              <w:autoSpaceDN w:val="0"/>
              <w:snapToGrid w:val="0"/>
              <w:spacing w:after="0" w:line="240" w:lineRule="auto"/>
              <w:ind w:firstLine="400"/>
              <w:rPr>
                <w:rFonts w:eastAsiaTheme="minorEastAsia"/>
              </w:rPr>
            </w:pPr>
            <w:r>
              <w:rPr>
                <w:rFonts w:cs="Times"/>
              </w:rPr>
              <w:t>Note: Semi-persistent and aperiodic reporting (and their respective measurements) are</w:t>
            </w:r>
            <w:r>
              <w:rPr>
                <w:rFonts w:cs="Times"/>
                <w:highlight w:val="yellow"/>
              </w:rPr>
              <w:t xml:space="preserve"> NW-</w:t>
            </w:r>
            <w:r>
              <w:rPr>
                <w:rFonts w:hint="eastAsia" w:eastAsia="宋体" w:cs="Times"/>
                <w:highlight w:val="yellow"/>
              </w:rPr>
              <w:t>Initiated</w:t>
            </w:r>
            <w:r>
              <w:rPr>
                <w:rFonts w:cs="Times"/>
                <w:szCs w:val="20"/>
              </w:rPr>
              <w:t xml:space="preserve"> </w:t>
            </w:r>
          </w:p>
          <w:p>
            <w:pPr>
              <w:pStyle w:val="111"/>
              <w:numPr>
                <w:ilvl w:val="255"/>
                <w:numId w:val="0"/>
              </w:numPr>
              <w:autoSpaceDN w:val="0"/>
              <w:snapToGrid w:val="0"/>
              <w:spacing w:after="0" w:line="240" w:lineRule="auto"/>
              <w:rPr>
                <w:rFonts w:eastAsiaTheme="minorEastAsia"/>
              </w:rPr>
            </w:pPr>
            <w:r>
              <w:rPr>
                <w:rFonts w:cs="Times"/>
                <w:b/>
                <w:bCs/>
                <w:szCs w:val="20"/>
                <w:u w:val="single"/>
              </w:rPr>
              <w:t>Agreement</w:t>
            </w:r>
            <w:r>
              <w:rPr>
                <w:rFonts w:hint="eastAsia" w:eastAsia="宋体" w:cs="Times"/>
                <w:b/>
                <w:bCs/>
                <w:szCs w:val="20"/>
                <w:u w:val="single"/>
              </w:rPr>
              <w:t xml:space="preserve"> #2</w:t>
            </w:r>
          </w:p>
          <w:p>
            <w:pPr>
              <w:numPr>
                <w:ilvl w:val="255"/>
                <w:numId w:val="0"/>
              </w:numPr>
              <w:autoSpaceDN w:val="0"/>
              <w:snapToGrid w:val="0"/>
              <w:spacing w:after="0" w:line="240" w:lineRule="auto"/>
              <w:rPr>
                <w:rFonts w:eastAsiaTheme="minorEastAsia"/>
              </w:rPr>
            </w:pPr>
            <w:r>
              <w:t xml:space="preserve">On Rel.17 multi-beam measurement/reporting enhancements for L1/L2-centric inter-cell mobility and inter-cell mTRP, </w:t>
            </w:r>
            <w:r>
              <w:rPr>
                <w:rFonts w:eastAsia="DengXian"/>
                <w:bCs/>
                <w:szCs w:val="18"/>
              </w:rPr>
              <w:t xml:space="preserve">for L1-RSRP measurement and at least aperiodic reporting, </w:t>
            </w:r>
            <w:r>
              <w:rPr>
                <w:rFonts w:eastAsia="DengXian"/>
                <w:szCs w:val="18"/>
              </w:rPr>
              <w:t>investigate and, if needed, specify</w:t>
            </w:r>
            <w:r>
              <w:rPr>
                <w:rFonts w:eastAsia="DengXian"/>
                <w:bCs/>
                <w:szCs w:val="18"/>
              </w:rPr>
              <w:t xml:space="preserve"> MAC CE based </w:t>
            </w:r>
            <w:r>
              <w:rPr>
                <w:rFonts w:eastAsia="DengXian"/>
                <w:bCs/>
                <w:szCs w:val="18"/>
                <w:highlight w:val="yellow"/>
              </w:rPr>
              <w:t xml:space="preserve">dynamic activation/deactivation </w:t>
            </w:r>
            <w:r>
              <w:rPr>
                <w:rFonts w:eastAsia="DengXian"/>
                <w:bCs/>
                <w:szCs w:val="18"/>
              </w:rPr>
              <w:t>of a subset of higher-layer-configured measurement for non-serving cell SSB</w:t>
            </w:r>
            <w:r>
              <w:rPr>
                <w:rFonts w:hint="eastAsia" w:eastAsia="DengXian"/>
                <w:bCs/>
                <w:szCs w:val="18"/>
              </w:rPr>
              <w:t>s</w:t>
            </w:r>
          </w:p>
        </w:tc>
      </w:tr>
    </w:tbl>
    <w:p>
      <w:pPr>
        <w:pStyle w:val="109"/>
        <w:widowControl w:val="0"/>
        <w:numPr>
          <w:ilvl w:val="255"/>
          <w:numId w:val="0"/>
        </w:numPr>
        <w:snapToGrid w:val="0"/>
        <w:spacing w:before="120" w:after="120" w:afterLines="50" w:line="300" w:lineRule="auto"/>
        <w:jc w:val="both"/>
        <w:rPr>
          <w:rFonts w:eastAsia="宋体"/>
          <w:szCs w:val="20"/>
        </w:rPr>
      </w:pPr>
      <w:r>
        <w:rPr>
          <w:rFonts w:hint="eastAsia" w:eastAsia="宋体"/>
          <w:szCs w:val="20"/>
        </w:rPr>
        <w:t xml:space="preserve">For semi-persistent and aperiodic reporting </w:t>
      </w:r>
      <w:r>
        <w:rPr>
          <w:rFonts w:eastAsia="宋体"/>
          <w:szCs w:val="20"/>
        </w:rPr>
        <w:t>for L1/L2-centric inter-cell mobility</w:t>
      </w:r>
      <w:r>
        <w:rPr>
          <w:rFonts w:hint="eastAsia" w:eastAsia="宋体"/>
          <w:szCs w:val="20"/>
        </w:rPr>
        <w:t xml:space="preserve">, the </w:t>
      </w:r>
      <w:r>
        <w:rPr>
          <w:rFonts w:eastAsia="宋体"/>
          <w:szCs w:val="20"/>
        </w:rPr>
        <w:t xml:space="preserve">beam measurement related to non-serving cell </w:t>
      </w:r>
      <w:r>
        <w:rPr>
          <w:rFonts w:hint="eastAsia" w:eastAsia="宋体"/>
          <w:szCs w:val="20"/>
        </w:rPr>
        <w:t>SSB</w:t>
      </w:r>
      <w:r>
        <w:rPr>
          <w:rFonts w:eastAsia="宋体"/>
          <w:szCs w:val="20"/>
        </w:rPr>
        <w:t>(s)</w:t>
      </w:r>
      <w:r>
        <w:rPr>
          <w:rFonts w:hint="eastAsia" w:eastAsia="宋体"/>
          <w:szCs w:val="20"/>
        </w:rPr>
        <w:t xml:space="preserve"> also can be dynamic</w:t>
      </w:r>
      <w:r>
        <w:rPr>
          <w:rFonts w:eastAsia="宋体"/>
          <w:szCs w:val="20"/>
        </w:rPr>
        <w:t>ally</w:t>
      </w:r>
      <w:r>
        <w:rPr>
          <w:rFonts w:hint="eastAsia" w:eastAsia="宋体"/>
          <w:szCs w:val="20"/>
        </w:rPr>
        <w:t xml:space="preserve"> activate/deactivate by a MAC-CE in order to </w:t>
      </w:r>
      <w:r>
        <w:rPr>
          <w:rFonts w:eastAsia="宋体"/>
          <w:szCs w:val="20"/>
        </w:rPr>
        <w:t>save UE complexity</w:t>
      </w:r>
      <w:r>
        <w:rPr>
          <w:rFonts w:hint="eastAsia" w:eastAsia="宋体"/>
          <w:szCs w:val="20"/>
        </w:rPr>
        <w:t xml:space="preserve">. </w:t>
      </w:r>
      <w:r>
        <w:rPr>
          <w:rFonts w:eastAsia="宋体"/>
          <w:szCs w:val="20"/>
        </w:rPr>
        <w:t>In such case, t</w:t>
      </w:r>
      <w:r>
        <w:rPr>
          <w:rFonts w:hint="eastAsia" w:eastAsia="宋体"/>
          <w:szCs w:val="20"/>
        </w:rPr>
        <w:t xml:space="preserve">he UE only </w:t>
      </w:r>
      <w:r>
        <w:rPr>
          <w:rFonts w:eastAsia="宋体"/>
          <w:szCs w:val="20"/>
        </w:rPr>
        <w:t xml:space="preserve">need to </w:t>
      </w:r>
      <w:r>
        <w:rPr>
          <w:rFonts w:hint="eastAsia" w:eastAsia="宋体"/>
          <w:szCs w:val="20"/>
        </w:rPr>
        <w:t xml:space="preserve">measure the </w:t>
      </w:r>
      <w:r>
        <w:rPr>
          <w:rFonts w:eastAsia="宋体"/>
          <w:szCs w:val="20"/>
        </w:rPr>
        <w:t xml:space="preserve">non-serving cell </w:t>
      </w:r>
      <w:r>
        <w:rPr>
          <w:rFonts w:hint="eastAsia" w:eastAsia="宋体"/>
          <w:szCs w:val="20"/>
        </w:rPr>
        <w:t>SSB</w:t>
      </w:r>
      <w:r>
        <w:rPr>
          <w:rFonts w:eastAsia="宋体"/>
          <w:szCs w:val="20"/>
        </w:rPr>
        <w:t>(s)</w:t>
      </w:r>
      <w:r>
        <w:rPr>
          <w:rFonts w:hint="eastAsia" w:eastAsia="宋体"/>
          <w:szCs w:val="20"/>
        </w:rPr>
        <w:t xml:space="preserve"> </w:t>
      </w:r>
      <w:r>
        <w:rPr>
          <w:rFonts w:eastAsia="宋体"/>
          <w:szCs w:val="20"/>
        </w:rPr>
        <w:t xml:space="preserve">once the corresponding measurement for semi-persistent or aperiodic reporting is </w:t>
      </w:r>
      <w:r>
        <w:rPr>
          <w:rFonts w:hint="eastAsia" w:eastAsia="宋体"/>
          <w:szCs w:val="20"/>
        </w:rPr>
        <w:t>activated</w:t>
      </w:r>
      <w:r>
        <w:rPr>
          <w:rFonts w:eastAsia="宋体"/>
          <w:szCs w:val="20"/>
        </w:rPr>
        <w:t xml:space="preserve"> by MAC-CE</w:t>
      </w:r>
      <w:r>
        <w:rPr>
          <w:rFonts w:hint="eastAsia" w:eastAsia="宋体"/>
          <w:szCs w:val="20"/>
        </w:rPr>
        <w:t xml:space="preserve">. </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Regarding semi-persistent reporting, t</w:t>
      </w:r>
      <w:r>
        <w:rPr>
          <w:rFonts w:hint="eastAsia" w:eastAsia="宋体"/>
          <w:szCs w:val="20"/>
        </w:rPr>
        <w:t>he current MAC-CE for activating semi-persistent CSI-RS set can be reused to activate a</w:t>
      </w:r>
      <w:r>
        <w:rPr>
          <w:rFonts w:eastAsia="宋体"/>
          <w:szCs w:val="20"/>
        </w:rPr>
        <w:t xml:space="preserve"> non-serving cell</w:t>
      </w:r>
      <w:r>
        <w:rPr>
          <w:rFonts w:hint="eastAsia" w:eastAsia="宋体"/>
          <w:szCs w:val="20"/>
        </w:rPr>
        <w:t xml:space="preserve"> SSB set</w:t>
      </w:r>
      <w:r>
        <w:rPr>
          <w:rFonts w:hint="eastAsia" w:eastAsia="宋体"/>
        </w:rPr>
        <w:t xml:space="preserve">. </w:t>
      </w:r>
      <w:r>
        <w:rPr>
          <w:rFonts w:eastAsia="宋体"/>
        </w:rPr>
        <w:t>In t</w:t>
      </w:r>
      <w:r>
        <w:rPr>
          <w:rFonts w:hint="eastAsia" w:eastAsia="宋体"/>
        </w:rPr>
        <w:t>he MAC</w:t>
      </w:r>
      <w:r>
        <w:rPr>
          <w:rFonts w:hint="eastAsia" w:eastAsia="宋体"/>
          <w:szCs w:val="20"/>
        </w:rPr>
        <w:t>-CE</w:t>
      </w:r>
      <w:r>
        <w:rPr>
          <w:rFonts w:eastAsia="宋体"/>
          <w:szCs w:val="20"/>
        </w:rPr>
        <w:t>,</w:t>
      </w:r>
      <w:r>
        <w:rPr>
          <w:rFonts w:hint="eastAsia" w:eastAsia="宋体"/>
          <w:szCs w:val="20"/>
        </w:rPr>
        <w:t xml:space="preserve"> </w:t>
      </w:r>
      <w:r>
        <w:rPr>
          <w:rFonts w:eastAsia="宋体"/>
          <w:szCs w:val="20"/>
        </w:rPr>
        <w:t>cell i</w:t>
      </w:r>
      <w:r>
        <w:rPr>
          <w:rFonts w:hint="eastAsia" w:eastAsia="宋体"/>
          <w:szCs w:val="20"/>
        </w:rPr>
        <w:t>nformation</w:t>
      </w:r>
      <w:r>
        <w:rPr>
          <w:rFonts w:eastAsia="宋体"/>
          <w:szCs w:val="20"/>
        </w:rPr>
        <w:t xml:space="preserve"> as a new non-serving related parameter set, can be indicated </w:t>
      </w:r>
      <w:r>
        <w:rPr>
          <w:rFonts w:hint="eastAsia" w:eastAsia="宋体"/>
          <w:szCs w:val="20"/>
        </w:rPr>
        <w:t>for each SSB resource in a SSB set</w:t>
      </w:r>
      <w:r>
        <w:rPr>
          <w:rFonts w:eastAsia="宋体"/>
          <w:szCs w:val="20"/>
        </w:rPr>
        <w:t xml:space="preserve">, rather than </w:t>
      </w:r>
      <w:r>
        <w:rPr>
          <w:rFonts w:hint="eastAsia" w:eastAsia="宋体"/>
          <w:szCs w:val="20"/>
        </w:rPr>
        <w:t xml:space="preserve">indicating TCI state. </w:t>
      </w:r>
    </w:p>
    <w:p>
      <w:pPr>
        <w:pStyle w:val="109"/>
        <w:widowControl w:val="0"/>
        <w:numPr>
          <w:ilvl w:val="1"/>
          <w:numId w:val="6"/>
        </w:numPr>
        <w:snapToGrid w:val="0"/>
        <w:spacing w:before="120" w:after="120" w:afterLines="50" w:line="300" w:lineRule="auto"/>
        <w:ind w:firstLineChars="0"/>
        <w:jc w:val="both"/>
        <w:rPr>
          <w:rFonts w:eastAsia="宋体"/>
          <w:szCs w:val="20"/>
        </w:rPr>
      </w:pPr>
      <w:r>
        <w:rPr>
          <w:rFonts w:hint="eastAsia" w:eastAsia="宋体"/>
          <w:szCs w:val="20"/>
        </w:rPr>
        <w:t xml:space="preserve">The </w:t>
      </w:r>
      <w:r>
        <w:rPr>
          <w:rFonts w:eastAsia="宋体"/>
          <w:szCs w:val="20"/>
        </w:rPr>
        <w:t>non-serving cell i</w:t>
      </w:r>
      <w:r>
        <w:rPr>
          <w:rFonts w:hint="eastAsia" w:eastAsia="宋体"/>
          <w:szCs w:val="20"/>
        </w:rPr>
        <w:t>nformation includes PCI, and SSB</w:t>
      </w:r>
      <w:r>
        <w:rPr>
          <w:rFonts w:eastAsia="宋体"/>
          <w:szCs w:val="20"/>
        </w:rPr>
        <w:t xml:space="preserve"> related</w:t>
      </w:r>
      <w:r>
        <w:rPr>
          <w:rFonts w:hint="eastAsia" w:eastAsia="宋体"/>
          <w:szCs w:val="20"/>
        </w:rPr>
        <w:t xml:space="preserve"> information such as half frame index, periodicity, carrier information, SCS information and Case information, wherein the Case includes Case A~Case E which is to determine time pattern of SSB </w:t>
      </w:r>
      <w:r>
        <w:rPr>
          <w:rFonts w:eastAsia="宋体"/>
          <w:szCs w:val="20"/>
        </w:rPr>
        <w:t xml:space="preserve">as </w:t>
      </w:r>
      <w:r>
        <w:rPr>
          <w:rFonts w:hint="eastAsia" w:eastAsia="宋体"/>
          <w:szCs w:val="20"/>
        </w:rPr>
        <w:t>described in 38.213.</w:t>
      </w:r>
    </w:p>
    <w:p>
      <w:pPr>
        <w:pStyle w:val="109"/>
        <w:widowControl w:val="0"/>
        <w:numPr>
          <w:ilvl w:val="1"/>
          <w:numId w:val="6"/>
        </w:numPr>
        <w:snapToGrid w:val="0"/>
        <w:spacing w:before="120" w:after="120" w:afterLines="50" w:line="300" w:lineRule="auto"/>
        <w:ind w:firstLineChars="0"/>
        <w:jc w:val="both"/>
        <w:rPr>
          <w:rFonts w:eastAsia="宋体"/>
        </w:rPr>
      </w:pPr>
      <w:r>
        <w:rPr>
          <w:rFonts w:eastAsia="宋体"/>
        </w:rPr>
        <w:t>Then, there are two candidate solutions for configuring the non-serving cell information for candidate SSB:</w:t>
      </w:r>
    </w:p>
    <w:p>
      <w:pPr>
        <w:pStyle w:val="109"/>
        <w:widowControl w:val="0"/>
        <w:numPr>
          <w:ilvl w:val="2"/>
          <w:numId w:val="6"/>
        </w:numPr>
        <w:snapToGrid w:val="0"/>
        <w:spacing w:before="120" w:after="120" w:afterLines="50" w:line="300" w:lineRule="auto"/>
        <w:ind w:firstLineChars="0"/>
        <w:jc w:val="both"/>
        <w:rPr>
          <w:rFonts w:eastAsia="宋体"/>
        </w:rPr>
      </w:pPr>
      <w:r>
        <w:rPr>
          <w:rFonts w:eastAsia="宋体"/>
        </w:rPr>
        <w:t>Alt-1: There are multiple SSB sets corresponding to different non-serving cell, and non-serving cell information can be configured per SSB resource in RRC level;</w:t>
      </w:r>
    </w:p>
    <w:p>
      <w:pPr>
        <w:pStyle w:val="109"/>
        <w:widowControl w:val="0"/>
        <w:numPr>
          <w:ilvl w:val="2"/>
          <w:numId w:val="6"/>
        </w:numPr>
        <w:snapToGrid w:val="0"/>
        <w:spacing w:before="120" w:after="120" w:afterLines="50" w:line="300" w:lineRule="auto"/>
        <w:ind w:firstLineChars="0"/>
        <w:jc w:val="both"/>
        <w:rPr>
          <w:rFonts w:eastAsia="宋体"/>
        </w:rPr>
      </w:pPr>
      <w:r>
        <w:rPr>
          <w:rFonts w:eastAsia="宋体"/>
        </w:rPr>
        <w:t>Alt-2: M</w:t>
      </w:r>
      <w:r>
        <w:rPr>
          <w:rFonts w:hint="eastAsia" w:eastAsia="宋体"/>
        </w:rPr>
        <w:t xml:space="preserve">ultiple </w:t>
      </w:r>
      <w:r>
        <w:rPr>
          <w:rFonts w:eastAsia="宋体"/>
        </w:rPr>
        <w:t xml:space="preserve">candidates of non-serving cell information is pre-configured in RRC, and then the MAC-CE further activate one of multiple candidates for </w:t>
      </w:r>
      <w:r>
        <w:rPr>
          <w:rFonts w:hint="eastAsia" w:eastAsia="宋体"/>
          <w:lang w:val="en-US" w:eastAsia="zh-CN"/>
        </w:rPr>
        <w:t xml:space="preserve">an SSB resource in </w:t>
      </w:r>
      <w:r>
        <w:rPr>
          <w:rFonts w:eastAsia="宋体"/>
        </w:rPr>
        <w:t xml:space="preserve">one activated SSB resource set for measurement.  </w:t>
      </w:r>
      <w:r>
        <w:rPr>
          <w:rFonts w:hint="eastAsia" w:eastAsia="宋体"/>
        </w:rPr>
        <w:t xml:space="preserve">It means that the </w:t>
      </w:r>
      <w:r>
        <w:rPr>
          <w:rFonts w:eastAsia="宋体"/>
        </w:rPr>
        <w:t>association</w:t>
      </w:r>
      <w:r>
        <w:rPr>
          <w:rFonts w:hint="eastAsia" w:eastAsia="宋体"/>
        </w:rPr>
        <w:t xml:space="preserve"> between SSB resource and </w:t>
      </w:r>
      <w:r>
        <w:rPr>
          <w:rFonts w:eastAsia="宋体"/>
        </w:rPr>
        <w:t xml:space="preserve">non-serving cell information </w:t>
      </w:r>
      <w:r>
        <w:rPr>
          <w:rFonts w:hint="eastAsia" w:eastAsia="宋体"/>
        </w:rPr>
        <w:t>is performed by MAC-CE instead of RRC</w:t>
      </w:r>
      <w:r>
        <w:rPr>
          <w:rFonts w:eastAsia="宋体"/>
        </w:rPr>
        <w:t>.</w:t>
      </w:r>
    </w:p>
    <w:p>
      <w:pPr>
        <w:pStyle w:val="109"/>
        <w:widowControl w:val="0"/>
        <w:numPr>
          <w:ilvl w:val="1"/>
          <w:numId w:val="6"/>
        </w:numPr>
        <w:snapToGrid w:val="0"/>
        <w:spacing w:before="120" w:after="120" w:afterLines="50" w:line="300" w:lineRule="auto"/>
        <w:ind w:firstLineChars="0"/>
        <w:jc w:val="both"/>
        <w:rPr>
          <w:rFonts w:eastAsia="宋体"/>
        </w:rPr>
      </w:pPr>
      <w:r>
        <w:rPr>
          <w:rFonts w:eastAsia="宋体"/>
        </w:rPr>
        <w:t>In our views, compared with Alt-1, Alt-2 can significantly save RRC signaling overhead for candidate non-serving cell SSB sets (e.g., up to 64 neighboring cells for UE mobility in Rel-15/16) with the same flexibility. Therefore, Alt-2 is preferred.</w:t>
      </w:r>
    </w:p>
    <w:p>
      <w:pPr>
        <w:pStyle w:val="109"/>
        <w:widowControl w:val="0"/>
        <w:numPr>
          <w:ilvl w:val="0"/>
          <w:numId w:val="6"/>
        </w:numPr>
        <w:snapToGrid w:val="0"/>
        <w:spacing w:before="120" w:after="120" w:afterLines="50" w:line="300" w:lineRule="auto"/>
        <w:ind w:firstLineChars="0"/>
        <w:jc w:val="both"/>
        <w:rPr>
          <w:rFonts w:eastAsia="宋体"/>
        </w:rPr>
      </w:pPr>
      <w:r>
        <w:rPr>
          <w:rFonts w:eastAsia="宋体"/>
        </w:rPr>
        <w:t>Regarding aperiodic reporting, in RRC level, t</w:t>
      </w:r>
      <w:r>
        <w:rPr>
          <w:rFonts w:hint="eastAsia" w:eastAsia="宋体"/>
        </w:rPr>
        <w:t xml:space="preserve">he TCI state of an aperiodic CSI-RS in current trigger states can be replaced with </w:t>
      </w:r>
      <w:r>
        <w:rPr>
          <w:rFonts w:eastAsia="宋体"/>
        </w:rPr>
        <w:t>non-serving cell information accordingly</w:t>
      </w:r>
      <w:r>
        <w:rPr>
          <w:rFonts w:hint="eastAsia" w:eastAsia="宋体"/>
        </w:rPr>
        <w:t>.</w:t>
      </w:r>
      <w:r>
        <w:rPr>
          <w:rFonts w:eastAsia="宋体"/>
        </w:rPr>
        <w:t xml:space="preserve"> Specifically, t</w:t>
      </w:r>
      <w:r>
        <w:rPr>
          <w:rFonts w:hint="eastAsia" w:eastAsia="宋体"/>
        </w:rPr>
        <w:t xml:space="preserve">he trigger state includes </w:t>
      </w:r>
      <w:r>
        <w:rPr>
          <w:rFonts w:eastAsia="宋体"/>
        </w:rPr>
        <w:t xml:space="preserve">non-serving cell information </w:t>
      </w:r>
      <w:r>
        <w:rPr>
          <w:rFonts w:hint="eastAsia" w:eastAsia="宋体"/>
        </w:rPr>
        <w:t xml:space="preserve">for each SSB resource in an SSB </w:t>
      </w:r>
      <w:r>
        <w:rPr>
          <w:rFonts w:hint="eastAsia" w:eastAsia="宋体"/>
          <w:lang w:val="en-US" w:eastAsia="zh-CN"/>
        </w:rPr>
        <w:t xml:space="preserve">resource </w:t>
      </w:r>
      <w:r>
        <w:rPr>
          <w:rFonts w:hint="eastAsia" w:eastAsia="宋体"/>
        </w:rPr>
        <w:t xml:space="preserve">set. </w:t>
      </w:r>
      <w:r>
        <w:rPr>
          <w:rFonts w:eastAsia="宋体"/>
        </w:rPr>
        <w:t>Then, t</w:t>
      </w:r>
      <w:r>
        <w:rPr>
          <w:rFonts w:hint="eastAsia" w:eastAsia="宋体"/>
        </w:rPr>
        <w:t xml:space="preserve">he UE only </w:t>
      </w:r>
      <w:r>
        <w:rPr>
          <w:rFonts w:eastAsia="宋体"/>
        </w:rPr>
        <w:t xml:space="preserve">need to </w:t>
      </w:r>
      <w:r>
        <w:rPr>
          <w:rFonts w:hint="eastAsia" w:eastAsia="宋体"/>
        </w:rPr>
        <w:t xml:space="preserve">measure the </w:t>
      </w:r>
      <w:r>
        <w:rPr>
          <w:rFonts w:eastAsia="宋体"/>
        </w:rPr>
        <w:t xml:space="preserve">non-serving cell </w:t>
      </w:r>
      <w:r>
        <w:rPr>
          <w:rFonts w:hint="eastAsia" w:eastAsia="宋体"/>
        </w:rPr>
        <w:t xml:space="preserve">SSB </w:t>
      </w:r>
      <w:r>
        <w:rPr>
          <w:rFonts w:eastAsia="宋体"/>
        </w:rPr>
        <w:t xml:space="preserve">set </w:t>
      </w:r>
      <w:r>
        <w:rPr>
          <w:rFonts w:hint="eastAsia" w:eastAsia="宋体"/>
        </w:rPr>
        <w:t xml:space="preserve">associated with </w:t>
      </w:r>
      <w:r>
        <w:rPr>
          <w:rFonts w:eastAsia="宋体"/>
        </w:rPr>
        <w:t>a</w:t>
      </w:r>
      <w:r>
        <w:rPr>
          <w:rFonts w:hint="eastAsia" w:eastAsia="宋体"/>
        </w:rPr>
        <w:t xml:space="preserve"> trigger state </w:t>
      </w:r>
      <w:r>
        <w:rPr>
          <w:rFonts w:eastAsia="宋体"/>
        </w:rPr>
        <w:t>activated</w:t>
      </w:r>
      <w:r>
        <w:rPr>
          <w:rFonts w:hint="eastAsia" w:eastAsia="宋体"/>
        </w:rPr>
        <w:t xml:space="preserve"> by </w:t>
      </w:r>
      <w:r>
        <w:rPr>
          <w:rFonts w:eastAsia="宋体"/>
        </w:rPr>
        <w:t>the</w:t>
      </w:r>
      <w:r>
        <w:rPr>
          <w:rFonts w:hint="eastAsia" w:eastAsia="宋体"/>
        </w:rPr>
        <w:t xml:space="preserve"> </w:t>
      </w:r>
      <w:r>
        <w:rPr>
          <w:rFonts w:eastAsia="宋体"/>
        </w:rPr>
        <w:t xml:space="preserve">legacy </w:t>
      </w:r>
      <w:r>
        <w:rPr>
          <w:rFonts w:hint="eastAsia" w:eastAsia="宋体"/>
        </w:rPr>
        <w:t>MAC-CE</w:t>
      </w:r>
      <w:r>
        <w:rPr>
          <w:rFonts w:eastAsia="宋体"/>
        </w:rPr>
        <w:t xml:space="preserve"> for activating AP-CSI triggering state(s)</w:t>
      </w:r>
      <w:r>
        <w:rPr>
          <w:rFonts w:hint="eastAsia" w:eastAsia="宋体"/>
        </w:rPr>
        <w:t xml:space="preserve">. </w:t>
      </w:r>
    </w:p>
    <w:p>
      <w:pPr>
        <w:pStyle w:val="109"/>
        <w:widowControl w:val="0"/>
        <w:numPr>
          <w:ilvl w:val="1"/>
          <w:numId w:val="6"/>
        </w:numPr>
        <w:snapToGrid w:val="0"/>
        <w:spacing w:before="120" w:after="120" w:afterLines="50" w:line="300" w:lineRule="auto"/>
        <w:ind w:firstLineChars="0"/>
        <w:jc w:val="both"/>
        <w:rPr>
          <w:rFonts w:eastAsia="宋体"/>
        </w:rPr>
      </w:pPr>
      <w:r>
        <w:rPr>
          <w:rFonts w:eastAsia="宋体"/>
        </w:rPr>
        <w:t xml:space="preserve">In Rel-15/16, there is a rule that the legacy MAC-CE is required only when the number of RRC candidate triggering states is greater than the maximum number of candidate </w:t>
      </w:r>
      <w:r>
        <w:rPr>
          <w:rFonts w:hint="eastAsia" w:eastAsia="宋体"/>
        </w:rPr>
        <w:t>codepoint</w:t>
      </w:r>
      <w:r>
        <w:rPr>
          <w:rFonts w:eastAsia="宋体"/>
        </w:rPr>
        <w:t>s</w:t>
      </w:r>
      <w:r>
        <w:rPr>
          <w:rFonts w:hint="eastAsia" w:eastAsia="宋体"/>
        </w:rPr>
        <w:t xml:space="preserve"> of CSI request field</w:t>
      </w:r>
      <w:r>
        <w:rPr>
          <w:rFonts w:eastAsia="宋体"/>
        </w:rPr>
        <w:t xml:space="preserve"> in DCI</w:t>
      </w:r>
      <w:r>
        <w:rPr>
          <w:rFonts w:hint="eastAsia" w:eastAsia="宋体"/>
        </w:rPr>
        <w:t xml:space="preserve">. </w:t>
      </w:r>
      <w:r>
        <w:rPr>
          <w:rFonts w:eastAsia="宋体"/>
        </w:rPr>
        <w:t>But, for saving the UE complexity for non-serving cell measurement, this rule of disabling the legacy MAC-CE should be removed.</w:t>
      </w:r>
      <w:r>
        <w:rPr>
          <w:rFonts w:hint="eastAsia" w:eastAsia="宋体"/>
        </w:rPr>
        <w:t xml:space="preserve"> </w:t>
      </w:r>
      <w:r>
        <w:rPr>
          <w:rFonts w:eastAsia="宋体"/>
        </w:rPr>
        <w:t xml:space="preserve">To be more specific, </w:t>
      </w:r>
      <w:r>
        <w:rPr>
          <w:rFonts w:hint="eastAsia" w:eastAsia="宋体"/>
        </w:rPr>
        <w:t xml:space="preserve">even if the number of trigger states configured by RRC is smaller than or equal to </w:t>
      </w:r>
      <w:r>
        <w:rPr>
          <w:position w:val="-4"/>
        </w:rPr>
        <w:object>
          <v:shape id="_x0000_i1027" o:spt="75" type="#_x0000_t75" style="height:14.3pt;width:36.8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rFonts w:hint="eastAsia" w:eastAsia="宋体"/>
          <w:position w:val="-4"/>
        </w:rPr>
        <w:t xml:space="preserve">, the </w:t>
      </w:r>
      <w:r>
        <w:rPr>
          <w:rFonts w:eastAsia="宋体"/>
          <w:position w:val="-4"/>
        </w:rPr>
        <w:t xml:space="preserve">legacy </w:t>
      </w:r>
      <w:r>
        <w:rPr>
          <w:rFonts w:hint="eastAsia" w:eastAsia="宋体"/>
          <w:position w:val="-4"/>
        </w:rPr>
        <w:t>MAC-CE</w:t>
      </w:r>
      <w:r>
        <w:t xml:space="preserve"> </w:t>
      </w:r>
      <w:r>
        <w:rPr>
          <w:rFonts w:eastAsia="宋体"/>
          <w:position w:val="-4"/>
        </w:rPr>
        <w:t xml:space="preserve">for activating AP-CSI triggering state(s) </w:t>
      </w:r>
      <w:r>
        <w:rPr>
          <w:rFonts w:hint="eastAsia" w:eastAsia="宋体"/>
          <w:position w:val="-4"/>
        </w:rPr>
        <w:t xml:space="preserve">is </w:t>
      </w:r>
      <w:r>
        <w:rPr>
          <w:rFonts w:eastAsia="宋体"/>
          <w:position w:val="-4"/>
        </w:rPr>
        <w:t xml:space="preserve">also </w:t>
      </w:r>
      <w:r>
        <w:rPr>
          <w:rFonts w:hint="eastAsia" w:eastAsia="宋体"/>
          <w:position w:val="-4"/>
        </w:rPr>
        <w:t>needed</w:t>
      </w:r>
      <w:r>
        <w:rPr>
          <w:rFonts w:eastAsia="宋体"/>
          <w:position w:val="-4"/>
        </w:rPr>
        <w:t>, where</w:t>
      </w:r>
      <w:r>
        <w:rPr>
          <w:rFonts w:hint="eastAsia" w:eastAsia="宋体"/>
          <w:position w:val="-4"/>
        </w:rPr>
        <w:t xml:space="preserve"> </w:t>
      </w:r>
      <w:r>
        <w:rPr>
          <w:rFonts w:eastAsia="宋体"/>
          <w:i/>
          <w:position w:val="-4"/>
        </w:rPr>
        <w:t>N</w:t>
      </w:r>
      <w:r>
        <w:rPr>
          <w:rFonts w:eastAsia="宋体"/>
          <w:i/>
          <w:position w:val="-4"/>
          <w:vertAlign w:val="subscript"/>
        </w:rPr>
        <w:t>TS</w:t>
      </w:r>
      <w:r>
        <w:rPr>
          <w:rFonts w:eastAsia="宋体"/>
        </w:rPr>
        <w:t xml:space="preserve"> </w:t>
      </w:r>
      <w:r>
        <w:rPr>
          <w:rFonts w:hint="eastAsia" w:eastAsia="宋体"/>
          <w:position w:val="-4"/>
        </w:rPr>
        <w:t>is the number of bits of the CSI request field.</w:t>
      </w:r>
    </w:p>
    <w:p>
      <w:pPr>
        <w:snapToGrid w:val="0"/>
        <w:spacing w:before="120" w:after="120" w:afterLines="50" w:line="300" w:lineRule="auto"/>
        <w:jc w:val="both"/>
        <w:rPr>
          <w:rFonts w:eastAsia="微软雅黑"/>
          <w:i/>
          <w:iCs/>
          <w:szCs w:val="20"/>
        </w:rPr>
      </w:pPr>
      <w:r>
        <w:rPr>
          <w:rFonts w:eastAsia="微软雅黑"/>
          <w:b/>
          <w:bCs/>
          <w:i/>
          <w:iCs/>
          <w:szCs w:val="20"/>
        </w:rPr>
        <w:t>Proposal 10:</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6"/>
        </w:numPr>
        <w:snapToGrid w:val="0"/>
        <w:spacing w:before="120" w:after="120" w:afterLines="50" w:line="300" w:lineRule="auto"/>
        <w:ind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for each SSB resource in a RRC configured SSB set by MAC-CE.</w:t>
      </w:r>
    </w:p>
    <w:p>
      <w:pPr>
        <w:pStyle w:val="111"/>
        <w:numPr>
          <w:ilvl w:val="0"/>
          <w:numId w:val="6"/>
        </w:numPr>
        <w:snapToGrid w:val="0"/>
        <w:spacing w:before="120" w:after="120" w:afterLines="50" w:line="300" w:lineRule="auto"/>
        <w:ind w:firstLineChars="0"/>
        <w:jc w:val="both"/>
        <w:rPr>
          <w:rFonts w:eastAsia="微软雅黑"/>
          <w:i/>
          <w:iCs/>
          <w:szCs w:val="20"/>
        </w:rPr>
      </w:pPr>
      <w:r>
        <w:rPr>
          <w:rFonts w:eastAsia="微软雅黑"/>
          <w:i/>
          <w:iCs/>
          <w:szCs w:val="20"/>
        </w:rPr>
        <w:t xml:space="preserve">Regarding aperiodic reporting,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 xml:space="preserve">associated with non-serving cell information in RRC (rather than TCI state per aperiodic CSI-RS), and then the legacy MAC-CE for activating AP-CSI triggering sate is reused for dynamically enabling the measurement. </w:t>
      </w:r>
    </w:p>
    <w:p>
      <w:pPr>
        <w:pStyle w:val="111"/>
        <w:numPr>
          <w:ilvl w:val="1"/>
          <w:numId w:val="6"/>
        </w:numPr>
        <w:snapToGrid w:val="0"/>
        <w:spacing w:before="120" w:after="120" w:afterLines="50" w:line="300" w:lineRule="auto"/>
        <w:ind w:firstLineChars="0"/>
        <w:jc w:val="both"/>
        <w:rPr>
          <w:rFonts w:eastAsia="微软雅黑"/>
          <w:i/>
          <w:iCs/>
          <w:szCs w:val="20"/>
        </w:rPr>
      </w:pPr>
      <w:r>
        <w:rPr>
          <w:rFonts w:eastAsia="微软雅黑"/>
          <w:i/>
          <w:iCs/>
          <w:szCs w:val="20"/>
        </w:rPr>
        <w:t xml:space="preserve">Notes that, compared with Rel-15/16, the legacy MAC-CE is always needed,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UE-Initiated L1/L2 reporting of neighboring cell</w:t>
      </w:r>
    </w:p>
    <w:p>
      <w:pPr>
        <w:pStyle w:val="109"/>
        <w:widowControl w:val="0"/>
        <w:numPr>
          <w:ilvl w:val="255"/>
          <w:numId w:val="0"/>
        </w:numPr>
        <w:snapToGrid w:val="0"/>
        <w:spacing w:before="120" w:after="120" w:afterLines="50" w:line="300" w:lineRule="auto"/>
        <w:jc w:val="both"/>
        <w:rPr>
          <w:rFonts w:eastAsia="宋体"/>
        </w:rPr>
      </w:pPr>
      <w:r>
        <w:rPr>
          <w:rFonts w:hint="eastAsia" w:eastAsia="宋体"/>
        </w:rPr>
        <w:t>As shown in section 2.3.1, NW initiated L1/L2 reporting of neighboring cell has been agreed in RAN1#104b-e meeting. Besides NW initiated L1/L2 reporting of neighboring cell, the UE initiated L1/L2 reporting</w:t>
      </w:r>
      <w:r>
        <w:rPr>
          <w:rFonts w:eastAsia="宋体"/>
        </w:rPr>
        <w:t xml:space="preserve"> </w:t>
      </w:r>
      <w:r>
        <w:rPr>
          <w:rFonts w:hint="eastAsia" w:eastAsia="宋体"/>
        </w:rPr>
        <w:t xml:space="preserve">should also be supported. </w:t>
      </w:r>
      <w:r>
        <w:rPr>
          <w:rFonts w:eastAsia="宋体"/>
        </w:rPr>
        <w:t xml:space="preserve">For instance, L1-RSRP reporting can be carried by a MAC-CE after initialized by an event (e.g., when a neighboring cell has a better channel quality than a serving cell). Instead of specifying UE measurement and this triggering event in MAC level, we can consider that the event can be directly initialized from </w:t>
      </w:r>
      <w:r>
        <w:rPr>
          <w:rFonts w:hint="eastAsia" w:eastAsia="宋体"/>
        </w:rPr>
        <w:t>an L3 mobility measurement.</w:t>
      </w:r>
      <w:r>
        <w:rPr>
          <w:rFonts w:eastAsia="宋体"/>
        </w:rPr>
        <w:t xml:space="preserve"> </w:t>
      </w:r>
    </w:p>
    <w:p>
      <w:pPr>
        <w:pStyle w:val="109"/>
        <w:snapToGrid w:val="0"/>
        <w:spacing w:before="120" w:after="120" w:afterLines="50" w:line="300" w:lineRule="auto"/>
        <w:ind w:firstLine="0" w:firstLineChars="0"/>
        <w:jc w:val="both"/>
        <w:rPr>
          <w:rFonts w:eastAsia="宋体"/>
        </w:rPr>
      </w:pPr>
      <w:r>
        <w:rPr>
          <w:rFonts w:hint="eastAsia" w:eastAsia="宋体"/>
        </w:rPr>
        <w:t>Compared with NW-</w:t>
      </w:r>
      <w:r>
        <w:rPr>
          <w:rFonts w:eastAsia="宋体"/>
        </w:rPr>
        <w:t>initiated</w:t>
      </w:r>
      <w:r>
        <w:rPr>
          <w:rFonts w:hint="eastAsia" w:eastAsia="宋体"/>
        </w:rPr>
        <w:t xml:space="preserve"> L1/L2 reporting of neighboring cell, the latency of UE-</w:t>
      </w:r>
      <w:r>
        <w:rPr>
          <w:rFonts w:eastAsia="宋体"/>
        </w:rPr>
        <w:t>i</w:t>
      </w:r>
      <w:r>
        <w:rPr>
          <w:rFonts w:hint="eastAsia" w:eastAsia="宋体"/>
        </w:rPr>
        <w:t xml:space="preserve">nitiated L1/L2 reporting </w:t>
      </w:r>
      <w:r>
        <w:rPr>
          <w:rFonts w:eastAsia="宋体"/>
        </w:rPr>
        <w:t>should be much</w:t>
      </w:r>
      <w:r>
        <w:rPr>
          <w:rFonts w:hint="eastAsia" w:eastAsia="宋体"/>
        </w:rPr>
        <w:t xml:space="preserve"> smaller because the UE can initiate the L1 reporting for a neighboring cell </w:t>
      </w:r>
      <w:r>
        <w:rPr>
          <w:rFonts w:eastAsia="宋体"/>
        </w:rPr>
        <w:t xml:space="preserve">by trigger event </w:t>
      </w:r>
      <w:r>
        <w:rPr>
          <w:rFonts w:hint="eastAsia" w:eastAsia="宋体"/>
        </w:rPr>
        <w:t>without waiting for the signaling from gNB</w:t>
      </w:r>
      <w:r>
        <w:rPr>
          <w:rFonts w:eastAsia="宋体"/>
        </w:rPr>
        <w:t>,</w:t>
      </w:r>
      <w:r>
        <w:rPr>
          <w:rFonts w:hint="eastAsia" w:eastAsia="宋体"/>
        </w:rPr>
        <w:t xml:space="preserve"> and </w:t>
      </w:r>
      <w:r>
        <w:rPr>
          <w:rFonts w:eastAsia="宋体"/>
        </w:rPr>
        <w:t xml:space="preserve">meanwhile </w:t>
      </w:r>
      <w:r>
        <w:rPr>
          <w:rFonts w:hint="eastAsia" w:eastAsia="宋体"/>
        </w:rPr>
        <w:t xml:space="preserve">the L1 reporting on demand </w:t>
      </w:r>
      <w:r>
        <w:rPr>
          <w:rFonts w:eastAsia="宋体"/>
        </w:rPr>
        <w:t xml:space="preserve">can </w:t>
      </w:r>
      <w:r>
        <w:rPr>
          <w:rFonts w:hint="eastAsia" w:eastAsia="宋体"/>
        </w:rPr>
        <w:t xml:space="preserve">save </w:t>
      </w:r>
      <w:r>
        <w:rPr>
          <w:rFonts w:eastAsia="宋体"/>
        </w:rPr>
        <w:t xml:space="preserve">UE </w:t>
      </w:r>
      <w:r>
        <w:rPr>
          <w:rFonts w:hint="eastAsia" w:eastAsia="宋体"/>
        </w:rPr>
        <w:t xml:space="preserve">power </w:t>
      </w:r>
      <w:r>
        <w:rPr>
          <w:rFonts w:eastAsia="宋体"/>
        </w:rPr>
        <w:t xml:space="preserve">consumption significantly </w:t>
      </w:r>
      <w:r>
        <w:rPr>
          <w:rFonts w:hint="eastAsia" w:eastAsia="宋体"/>
        </w:rPr>
        <w:t>as BFR</w:t>
      </w:r>
      <w:r>
        <w:rPr>
          <w:rFonts w:eastAsia="宋体"/>
        </w:rPr>
        <w:t xml:space="preserve"> procedure</w:t>
      </w:r>
      <w:r>
        <w:rPr>
          <w:rFonts w:hint="eastAsia" w:eastAsia="宋体"/>
        </w:rPr>
        <w:t>.</w:t>
      </w:r>
      <w:r>
        <w:rPr>
          <w:rFonts w:eastAsia="宋体"/>
        </w:rPr>
        <w:t xml:space="preserve"> </w:t>
      </w:r>
      <w:r>
        <w:rPr>
          <w:rFonts w:hint="eastAsia" w:eastAsia="宋体"/>
        </w:rPr>
        <w:t>As the trigger event is based on L3 mobility, it can avoid too frequency reporting of neighboring cell. It can get good trade-off between power consumption and reporting in time</w:t>
      </w:r>
      <w:r>
        <w:rPr>
          <w:rFonts w:eastAsia="宋体"/>
        </w:rPr>
        <w:t>.</w:t>
      </w:r>
      <w:r>
        <w:rPr>
          <w:rFonts w:hint="eastAsia" w:eastAsia="宋体"/>
        </w:rPr>
        <w:t xml:space="preserve"> </w:t>
      </w:r>
    </w:p>
    <w:p>
      <w:pPr>
        <w:pStyle w:val="109"/>
        <w:numPr>
          <w:ilvl w:val="255"/>
          <w:numId w:val="0"/>
        </w:numPr>
        <w:snapToGrid w:val="0"/>
        <w:spacing w:before="120" w:after="120" w:afterLines="50"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1</w:t>
      </w:r>
      <w:r>
        <w:rPr>
          <w:rFonts w:hint="eastAsia"/>
          <w:b/>
          <w:bCs/>
          <w:i/>
          <w:iCs/>
        </w:rPr>
        <w:t>:</w:t>
      </w:r>
      <w:r>
        <w:rPr>
          <w:b/>
          <w:bCs/>
          <w:i/>
          <w:iCs/>
        </w:rPr>
        <w:t xml:space="preserve"> </w:t>
      </w:r>
      <w:r>
        <w:rPr>
          <w:rFonts w:eastAsia="微软雅黑"/>
          <w:i/>
          <w:szCs w:val="20"/>
        </w:rPr>
        <w:t>Besides NW-Initiated reporting,</w:t>
      </w:r>
      <w:r>
        <w:rPr>
          <w:rFonts w:hint="eastAsia" w:eastAsia="宋体"/>
          <w:b/>
          <w:bCs/>
          <w:i/>
          <w:iCs/>
        </w:rPr>
        <w:t xml:space="preserve"> </w:t>
      </w:r>
      <w:r>
        <w:rPr>
          <w:rFonts w:eastAsia="宋体"/>
          <w:i/>
        </w:rPr>
        <w:t>event-driven mechanism for L1/L2-centric inter-cell mobility</w:t>
      </w:r>
      <w:r>
        <w:rPr>
          <w:rFonts w:hint="eastAsia" w:eastAsia="宋体"/>
          <w:i/>
        </w:rPr>
        <w:t xml:space="preserve"> should be supported </w:t>
      </w:r>
    </w:p>
    <w:p>
      <w:pPr>
        <w:pStyle w:val="111"/>
        <w:numPr>
          <w:ilvl w:val="0"/>
          <w:numId w:val="6"/>
        </w:numPr>
        <w:snapToGrid w:val="0"/>
        <w:spacing w:before="120" w:after="120" w:afterLines="50" w:line="300" w:lineRule="auto"/>
        <w:ind w:firstLineChars="0"/>
        <w:jc w:val="both"/>
        <w:rPr>
          <w:rFonts w:eastAsia="宋体"/>
          <w:b/>
          <w:sz w:val="21"/>
          <w:szCs w:val="20"/>
        </w:rPr>
      </w:pPr>
      <w:r>
        <w:rPr>
          <w:rFonts w:eastAsia="宋体"/>
          <w:i/>
        </w:rPr>
        <w:t xml:space="preserve"> L1-RSRP reporting involving new candidate beams and non-serving cell information (e.g., PCI) can be carried by a MAC-CE after initialized by an </w:t>
      </w:r>
      <w:r>
        <w:rPr>
          <w:rFonts w:eastAsia="微软雅黑"/>
          <w:i/>
          <w:iCs/>
          <w:szCs w:val="20"/>
        </w:rPr>
        <w:t>event</w:t>
      </w:r>
      <w:r>
        <w:rPr>
          <w:rFonts w:eastAsia="宋体"/>
          <w:i/>
        </w:rPr>
        <w:t xml:space="preserve"> triggered by L3 mobility measurement.</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Differential L1-RSRP </w:t>
      </w:r>
      <w:r>
        <w:rPr>
          <w:rFonts w:eastAsia="宋体"/>
          <w:b/>
          <w:sz w:val="21"/>
          <w:szCs w:val="20"/>
        </w:rPr>
        <w:t>and transmitting power per non-serving</w:t>
      </w:r>
      <w:r>
        <w:rPr>
          <w:rFonts w:hint="eastAsia" w:eastAsia="宋体"/>
          <w:b/>
          <w:sz w:val="21"/>
          <w:szCs w:val="20"/>
        </w:rPr>
        <w:t xml:space="preserve"> cell</w:t>
      </w:r>
    </w:p>
    <w:p>
      <w:pPr>
        <w:numPr>
          <w:ilvl w:val="255"/>
          <w:numId w:val="0"/>
        </w:numPr>
        <w:snapToGrid w:val="0"/>
        <w:spacing w:before="120" w:after="120" w:afterLines="50" w:line="300" w:lineRule="auto"/>
        <w:jc w:val="both"/>
        <w:rPr>
          <w:rFonts w:eastAsia="宋体"/>
        </w:rPr>
      </w:pPr>
      <w:r>
        <w:rPr>
          <w:rFonts w:eastAsia="宋体"/>
        </w:rPr>
        <w:t>In RAN1#104</w:t>
      </w:r>
      <w:r>
        <w:rPr>
          <w:rFonts w:hint="eastAsia" w:eastAsia="宋体"/>
        </w:rPr>
        <w:t>b-e</w:t>
      </w:r>
      <w:r>
        <w:rPr>
          <w:rFonts w:eastAsia="宋体"/>
        </w:rPr>
        <w:t>, some discussion on reporting format for L1/L2-centric inter-cell mobility was made, and then the following agreement was reached</w:t>
      </w:r>
      <w:r>
        <w:rPr>
          <w:rFonts w:hint="eastAsia" w:eastAsia="宋体"/>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jc w:val="both"/>
              <w:rPr>
                <w:rFonts w:cs="Times"/>
                <w:b/>
                <w:bCs/>
                <w:szCs w:val="20"/>
                <w:u w:val="single"/>
              </w:rPr>
            </w:pPr>
            <w:r>
              <w:rPr>
                <w:rFonts w:cs="Times"/>
                <w:b/>
                <w:bCs/>
                <w:szCs w:val="20"/>
                <w:u w:val="single"/>
              </w:rPr>
              <w:t>Agreement</w:t>
            </w:r>
          </w:p>
          <w:p>
            <w:pPr>
              <w:pStyle w:val="111"/>
              <w:numPr>
                <w:ilvl w:val="255"/>
                <w:numId w:val="0"/>
              </w:numPr>
              <w:autoSpaceDN w:val="0"/>
              <w:snapToGrid w:val="0"/>
              <w:spacing w:after="0" w:line="240" w:lineRule="auto"/>
              <w:jc w:val="both"/>
            </w:pPr>
            <w:r>
              <w:t xml:space="preserve">On Rel.17 multi-beam measurement/reporting </w:t>
            </w:r>
            <w:r>
              <w:rPr>
                <w:rFonts w:cs="Times"/>
              </w:rPr>
              <w:t>enhancements</w:t>
            </w:r>
            <w:r>
              <w:t xml:space="preserve"> </w:t>
            </w:r>
            <w:r>
              <w:rPr>
                <w:color w:val="000000"/>
              </w:rPr>
              <w:t>for L1/L2-centric inter-cell mobility and inter-cell mTRP</w:t>
            </w:r>
            <w:r>
              <w:t xml:space="preserve">, </w:t>
            </w:r>
          </w:p>
          <w:p>
            <w:pPr>
              <w:pStyle w:val="111"/>
              <w:numPr>
                <w:ilvl w:val="0"/>
                <w:numId w:val="19"/>
              </w:numPr>
              <w:autoSpaceDN w:val="0"/>
              <w:snapToGrid w:val="0"/>
              <w:spacing w:after="0" w:line="240" w:lineRule="auto"/>
              <w:ind w:firstLineChars="0"/>
              <w:jc w:val="both"/>
              <w:rPr>
                <w:lang w:eastAsia="ko-KR"/>
              </w:rPr>
            </w:pPr>
            <w:r>
              <w:rPr>
                <w:lang w:eastAsia="ko-KR"/>
              </w:rPr>
              <w:t xml:space="preserve">In one reporting instance, depending on NW configuration, beam(s) associated with a non-serving cell can be mixed with that associated with serving-cell </w:t>
            </w:r>
          </w:p>
          <w:p>
            <w:pPr>
              <w:pStyle w:val="111"/>
              <w:numPr>
                <w:ilvl w:val="1"/>
                <w:numId w:val="19"/>
              </w:numPr>
              <w:autoSpaceDN w:val="0"/>
              <w:snapToGrid w:val="0"/>
              <w:spacing w:after="0" w:line="240" w:lineRule="auto"/>
              <w:ind w:firstLineChars="0"/>
              <w:jc w:val="both"/>
              <w:rPr>
                <w:lang w:eastAsia="ko-KR"/>
              </w:rPr>
            </w:pPr>
            <w:r>
              <w:rPr>
                <w:lang w:eastAsia="ko-KR"/>
              </w:rPr>
              <w:t>FFS: whether this applies to periodic, semi-persistent, and/or aperiodic</w:t>
            </w:r>
          </w:p>
          <w:p>
            <w:pPr>
              <w:pStyle w:val="111"/>
              <w:numPr>
                <w:ilvl w:val="1"/>
                <w:numId w:val="19"/>
              </w:numPr>
              <w:autoSpaceDN w:val="0"/>
              <w:snapToGrid w:val="0"/>
              <w:spacing w:after="0" w:line="240" w:lineRule="auto"/>
              <w:ind w:firstLineChars="0"/>
              <w:jc w:val="both"/>
              <w:rPr>
                <w:lang w:eastAsia="ko-KR"/>
              </w:rPr>
            </w:pPr>
            <w:r>
              <w:rPr>
                <w:rFonts w:eastAsia="DengXian"/>
                <w:bCs/>
                <w:lang w:eastAsia="ko-KR"/>
              </w:rPr>
              <w:t>FFS: How to report the K beams and corresponding qualities if the Tx power among the non-serving cell and with serving-cell is not the same</w:t>
            </w:r>
          </w:p>
          <w:p>
            <w:pPr>
              <w:pStyle w:val="111"/>
              <w:numPr>
                <w:ilvl w:val="1"/>
                <w:numId w:val="19"/>
              </w:numPr>
              <w:autoSpaceDN w:val="0"/>
              <w:snapToGrid w:val="0"/>
              <w:spacing w:after="0" w:line="240" w:lineRule="auto"/>
              <w:ind w:firstLineChars="0"/>
              <w:jc w:val="both"/>
              <w:rPr>
                <w:rFonts w:eastAsiaTheme="minorEastAsia"/>
              </w:rPr>
            </w:pPr>
            <w:r>
              <w:rPr>
                <w:rFonts w:eastAsia="DengXian"/>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pPr>
        <w:numPr>
          <w:ilvl w:val="255"/>
          <w:numId w:val="0"/>
        </w:numPr>
        <w:snapToGrid w:val="0"/>
        <w:spacing w:before="120" w:after="120" w:afterLines="50" w:line="300" w:lineRule="auto"/>
        <w:jc w:val="both"/>
        <w:rPr>
          <w:rFonts w:eastAsia="宋体"/>
        </w:rPr>
      </w:pPr>
      <w:r>
        <w:rPr>
          <w:rFonts w:hint="eastAsia" w:eastAsia="宋体"/>
        </w:rPr>
        <w:t>In order to report beams of serving cell and neighboring cell in one reporting and increase diversity and robustness of beams, the offset of L1-RSRP between beams of different cells can be larger than offset of L1-RSRP between beams of one cell.</w:t>
      </w:r>
      <w:r>
        <w:rPr>
          <w:rFonts w:eastAsia="宋体"/>
        </w:rPr>
        <w:t xml:space="preserve"> Then, in our views, d</w:t>
      </w:r>
      <w:r>
        <w:rPr>
          <w:rFonts w:hint="eastAsia" w:eastAsia="宋体"/>
        </w:rPr>
        <w:t xml:space="preserve">ifferential RSRP should be performed between beams of each </w:t>
      </w:r>
      <w:r>
        <w:rPr>
          <w:rFonts w:eastAsia="宋体"/>
        </w:rPr>
        <w:t xml:space="preserve">of non-serving/serving </w:t>
      </w:r>
      <w:r>
        <w:rPr>
          <w:rFonts w:hint="eastAsia" w:eastAsia="宋体"/>
        </w:rPr>
        <w:t xml:space="preserve">cell. </w:t>
      </w:r>
      <w:r>
        <w:rPr>
          <w:rFonts w:eastAsia="宋体"/>
        </w:rPr>
        <w:t>Specifically, t</w:t>
      </w:r>
      <w:r>
        <w:rPr>
          <w:rFonts w:hint="eastAsia" w:eastAsia="宋体"/>
        </w:rPr>
        <w:t xml:space="preserve">he UE reports the largest L1-RSRP </w:t>
      </w:r>
      <w:r>
        <w:rPr>
          <w:rFonts w:eastAsia="宋体"/>
        </w:rPr>
        <w:t xml:space="preserve">per non-serving </w:t>
      </w:r>
      <w:r>
        <w:rPr>
          <w:rFonts w:hint="eastAsia" w:eastAsia="宋体"/>
        </w:rPr>
        <w:t>cell</w:t>
      </w:r>
      <w:r>
        <w:rPr>
          <w:rFonts w:eastAsia="宋体"/>
        </w:rPr>
        <w:t>/serving cell</w:t>
      </w:r>
      <w:r>
        <w:rPr>
          <w:rFonts w:hint="eastAsia" w:eastAsia="宋体"/>
        </w:rPr>
        <w:t xml:space="preserve"> using absolute value and </w:t>
      </w:r>
      <w:r>
        <w:rPr>
          <w:rFonts w:eastAsia="宋体"/>
        </w:rPr>
        <w:t xml:space="preserve">then </w:t>
      </w:r>
      <w:r>
        <w:rPr>
          <w:rFonts w:hint="eastAsia" w:eastAsia="宋体"/>
        </w:rPr>
        <w:t xml:space="preserve">reports the differential L1-RSRP of remaining beams of </w:t>
      </w:r>
      <w:r>
        <w:rPr>
          <w:rFonts w:eastAsia="宋体"/>
        </w:rPr>
        <w:t xml:space="preserve">the non-serving/serving </w:t>
      </w:r>
      <w:r>
        <w:rPr>
          <w:rFonts w:hint="eastAsia" w:eastAsia="宋体"/>
        </w:rPr>
        <w:t>cell using differential L1-RSRP</w:t>
      </w:r>
      <w:r>
        <w:rPr>
          <w:rFonts w:eastAsia="宋体"/>
        </w:rPr>
        <w:t>.</w:t>
      </w:r>
      <w:r>
        <w:rPr>
          <w:rFonts w:hint="eastAsia" w:eastAsia="宋体"/>
        </w:rPr>
        <w:t xml:space="preserve"> </w:t>
      </w:r>
    </w:p>
    <w:p>
      <w:pPr>
        <w:pStyle w:val="109"/>
        <w:numPr>
          <w:ilvl w:val="255"/>
          <w:numId w:val="0"/>
        </w:numPr>
        <w:snapToGrid w:val="0"/>
        <w:spacing w:before="120" w:after="120" w:afterLines="50" w:line="300" w:lineRule="auto"/>
        <w:jc w:val="both"/>
        <w:rPr>
          <w:rFonts w:eastAsia="宋体"/>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 xml:space="preserve">Differential L1-RSRP should be performed per non-serving cell/serving cell, when beam(s) associated with a non-serving cell can be mixed with that associated with serving-cell in a reporting instance. </w:t>
      </w:r>
    </w:p>
    <w:p>
      <w:pPr>
        <w:numPr>
          <w:ilvl w:val="255"/>
          <w:numId w:val="0"/>
        </w:numPr>
        <w:snapToGrid w:val="0"/>
        <w:spacing w:before="120" w:after="120" w:afterLines="50" w:line="300" w:lineRule="auto"/>
        <w:jc w:val="both"/>
        <w:rPr>
          <w:rFonts w:eastAsia="宋体"/>
        </w:rPr>
      </w:pPr>
      <w:r>
        <w:rPr>
          <w:rFonts w:hint="eastAsia" w:eastAsia="宋体"/>
        </w:rPr>
        <w:t xml:space="preserve">The </w:t>
      </w:r>
      <w:r>
        <w:rPr>
          <w:rFonts w:eastAsia="宋体"/>
        </w:rPr>
        <w:t>transmit</w:t>
      </w:r>
      <w:r>
        <w:rPr>
          <w:rFonts w:hint="eastAsia" w:eastAsia="宋体"/>
        </w:rPr>
        <w:t xml:space="preserve"> power of SSBs from </w:t>
      </w:r>
      <w:r>
        <w:rPr>
          <w:rFonts w:eastAsia="宋体"/>
        </w:rPr>
        <w:t>different</w:t>
      </w:r>
      <w:r>
        <w:rPr>
          <w:rFonts w:hint="eastAsia" w:eastAsia="宋体"/>
        </w:rPr>
        <w:t xml:space="preserve"> cells can be different. If the L1/L2 reporting of neighboring cell is for scheduling downlink transmission, the </w:t>
      </w:r>
      <w:r>
        <w:rPr>
          <w:rFonts w:eastAsia="宋体"/>
        </w:rPr>
        <w:t xml:space="preserve">information of </w:t>
      </w:r>
      <w:r>
        <w:rPr>
          <w:rFonts w:hint="eastAsia" w:eastAsia="宋体"/>
        </w:rPr>
        <w:t>transmit</w:t>
      </w:r>
      <w:r>
        <w:rPr>
          <w:rFonts w:eastAsia="宋体"/>
        </w:rPr>
        <w:t xml:space="preserve"> </w:t>
      </w:r>
      <w:r>
        <w:rPr>
          <w:rFonts w:hint="eastAsia" w:eastAsia="宋体"/>
        </w:rPr>
        <w:t xml:space="preserve">power </w:t>
      </w:r>
      <w:r>
        <w:rPr>
          <w:rFonts w:eastAsia="宋体"/>
        </w:rPr>
        <w:t>may NOT be needed, and herein t</w:t>
      </w:r>
      <w:r>
        <w:rPr>
          <w:rFonts w:hint="eastAsia" w:eastAsia="宋体"/>
        </w:rPr>
        <w:t>he UE selects cell</w:t>
      </w:r>
      <w:r>
        <w:rPr>
          <w:rFonts w:eastAsia="宋体"/>
        </w:rPr>
        <w:t>(s)</w:t>
      </w:r>
      <w:r>
        <w:rPr>
          <w:rFonts w:hint="eastAsia" w:eastAsia="宋体"/>
        </w:rPr>
        <w:t xml:space="preserve"> and </w:t>
      </w:r>
      <w:r>
        <w:rPr>
          <w:rFonts w:eastAsia="宋体"/>
        </w:rPr>
        <w:t>beam(s) to be reported only</w:t>
      </w:r>
      <w:r>
        <w:rPr>
          <w:rFonts w:hint="eastAsia" w:eastAsia="宋体"/>
        </w:rPr>
        <w:t xml:space="preserve"> based on receiv</w:t>
      </w:r>
      <w:r>
        <w:rPr>
          <w:rFonts w:eastAsia="宋体"/>
        </w:rPr>
        <w:t>e</w:t>
      </w:r>
      <w:r>
        <w:rPr>
          <w:rFonts w:hint="eastAsia" w:eastAsia="宋体"/>
        </w:rPr>
        <w:t xml:space="preserve"> power</w:t>
      </w:r>
      <w:r>
        <w:rPr>
          <w:rFonts w:eastAsia="宋体"/>
        </w:rPr>
        <w:t>. However, i</w:t>
      </w:r>
      <w:r>
        <w:rPr>
          <w:rFonts w:hint="eastAsia" w:eastAsia="宋体"/>
        </w:rPr>
        <w:t xml:space="preserve">f the L1/L2 reporting of </w:t>
      </w:r>
      <w:r>
        <w:rPr>
          <w:rFonts w:eastAsia="宋体"/>
        </w:rPr>
        <w:t>non-serving</w:t>
      </w:r>
      <w:r>
        <w:rPr>
          <w:rFonts w:hint="eastAsia" w:eastAsia="宋体"/>
        </w:rPr>
        <w:t xml:space="preserve"> cell is used for scheduling uplink transmission, then the transmit power should be considered</w:t>
      </w:r>
      <w:r>
        <w:rPr>
          <w:rFonts w:eastAsia="宋体"/>
        </w:rPr>
        <w:t>:</w:t>
      </w:r>
      <w:r>
        <w:rPr>
          <w:rFonts w:hint="eastAsia" w:eastAsia="宋体"/>
        </w:rPr>
        <w:t xml:space="preserve"> </w:t>
      </w:r>
      <w:r>
        <w:rPr>
          <w:rFonts w:eastAsia="宋体"/>
        </w:rPr>
        <w:t>t</w:t>
      </w:r>
      <w:r>
        <w:rPr>
          <w:rFonts w:hint="eastAsia" w:eastAsia="宋体"/>
        </w:rPr>
        <w:t>he UE selects cell</w:t>
      </w:r>
      <w:r>
        <w:rPr>
          <w:rFonts w:eastAsia="宋体"/>
        </w:rPr>
        <w:t>(s)</w:t>
      </w:r>
      <w:r>
        <w:rPr>
          <w:rFonts w:hint="eastAsia" w:eastAsia="宋体"/>
        </w:rPr>
        <w:t xml:space="preserve"> and beam</w:t>
      </w:r>
      <w:r>
        <w:rPr>
          <w:rFonts w:eastAsia="宋体"/>
        </w:rPr>
        <w:t>(s)</w:t>
      </w:r>
      <w:r>
        <w:rPr>
          <w:rFonts w:hint="eastAsia" w:eastAsia="宋体"/>
        </w:rPr>
        <w:t xml:space="preserve"> based on difference between receiv</w:t>
      </w:r>
      <w:r>
        <w:rPr>
          <w:rFonts w:eastAsia="宋体"/>
        </w:rPr>
        <w:t>e</w:t>
      </w:r>
      <w:r>
        <w:rPr>
          <w:rFonts w:hint="eastAsia" w:eastAsia="宋体"/>
        </w:rPr>
        <w:t xml:space="preserve"> power and transm</w:t>
      </w:r>
      <w:r>
        <w:rPr>
          <w:rFonts w:eastAsia="宋体"/>
        </w:rPr>
        <w:t xml:space="preserve">it </w:t>
      </w:r>
      <w:r>
        <w:rPr>
          <w:rFonts w:hint="eastAsia" w:eastAsia="宋体"/>
        </w:rPr>
        <w:t xml:space="preserve">power </w:t>
      </w:r>
      <w:r>
        <w:rPr>
          <w:rFonts w:eastAsia="宋体"/>
        </w:rPr>
        <w:t>corresponding to</w:t>
      </w:r>
      <w:r>
        <w:rPr>
          <w:rFonts w:hint="eastAsia" w:eastAsia="宋体"/>
        </w:rPr>
        <w:t xml:space="preserve"> SSB. So</w:t>
      </w:r>
      <w:r>
        <w:rPr>
          <w:rFonts w:eastAsia="宋体"/>
        </w:rPr>
        <w:t>, it is recommended that, through configuring different reporting quantity parameters,</w:t>
      </w:r>
      <w:r>
        <w:rPr>
          <w:rFonts w:hint="eastAsia" w:eastAsia="宋体"/>
        </w:rPr>
        <w:t xml:space="preserve"> </w:t>
      </w:r>
      <w:r>
        <w:rPr>
          <w:rFonts w:eastAsia="宋体"/>
        </w:rPr>
        <w:t>the gNB can initialize</w:t>
      </w:r>
      <w:r>
        <w:rPr>
          <w:rFonts w:hint="eastAsia" w:eastAsia="宋体"/>
        </w:rPr>
        <w:t xml:space="preserve"> </w:t>
      </w:r>
      <w:r>
        <w:rPr>
          <w:rFonts w:eastAsia="宋体"/>
        </w:rPr>
        <w:t xml:space="preserve">an </w:t>
      </w:r>
      <w:r>
        <w:rPr>
          <w:rFonts w:hint="eastAsia" w:eastAsia="宋体"/>
        </w:rPr>
        <w:t>a</w:t>
      </w:r>
      <w:r>
        <w:rPr>
          <w:rFonts w:eastAsia="宋体"/>
        </w:rPr>
        <w:t>ppropriate</w:t>
      </w:r>
      <w:r>
        <w:rPr>
          <w:rFonts w:hint="eastAsia" w:eastAsia="宋体"/>
        </w:rPr>
        <w:t xml:space="preserve"> CSI-report</w:t>
      </w:r>
      <w:r>
        <w:rPr>
          <w:rFonts w:eastAsia="宋体"/>
        </w:rPr>
        <w:t xml:space="preserve"> with sufficient flexibility, e.g., based on </w:t>
      </w:r>
      <w:r>
        <w:rPr>
          <w:rFonts w:hint="eastAsia" w:eastAsia="宋体"/>
        </w:rPr>
        <w:t xml:space="preserve">L1-RSRP </w:t>
      </w:r>
      <w:r>
        <w:rPr>
          <w:rFonts w:eastAsia="宋体"/>
        </w:rPr>
        <w:t>or</w:t>
      </w:r>
      <w:r>
        <w:rPr>
          <w:rFonts w:hint="eastAsia" w:eastAsia="宋体"/>
        </w:rPr>
        <w:t xml:space="preserve"> difference between receiving L1-RSRP and </w:t>
      </w:r>
      <w:r>
        <w:rPr>
          <w:rFonts w:eastAsia="宋体"/>
        </w:rPr>
        <w:t>transmit</w:t>
      </w:r>
      <w:r>
        <w:rPr>
          <w:rFonts w:hint="eastAsia" w:eastAsia="宋体"/>
        </w:rPr>
        <w:t xml:space="preserve"> power</w:t>
      </w:r>
      <w:r>
        <w:rPr>
          <w:rFonts w:eastAsia="宋体"/>
        </w:rPr>
        <w:t>, like coupling loss</w:t>
      </w:r>
      <w:r>
        <w:rPr>
          <w:rFonts w:hint="eastAsia" w:eastAsia="宋体"/>
        </w:rPr>
        <w:t xml:space="preserve">. </w:t>
      </w:r>
    </w:p>
    <w:p>
      <w:pPr>
        <w:pStyle w:val="109"/>
        <w:snapToGrid w:val="0"/>
        <w:spacing w:before="120" w:after="120" w:afterLines="50" w:line="300" w:lineRule="auto"/>
        <w:ind w:firstLine="0" w:firstLineChars="0"/>
        <w:jc w:val="both"/>
        <w:rPr>
          <w:rFonts w:eastAsia="宋体"/>
          <w:i/>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 </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 TCI state groups associated with  different configuration </w:t>
      </w:r>
    </w:p>
    <w:p>
      <w:pPr>
        <w:pStyle w:val="109"/>
        <w:numPr>
          <w:ilvl w:val="255"/>
          <w:numId w:val="0"/>
        </w:numPr>
        <w:snapToGrid w:val="0"/>
        <w:spacing w:before="120" w:after="120" w:afterLines="50" w:line="300" w:lineRule="auto"/>
        <w:jc w:val="both"/>
        <w:rPr>
          <w:rFonts w:eastAsia="宋体"/>
        </w:rPr>
      </w:pPr>
      <w:r>
        <w:rPr>
          <w:rFonts w:eastAsia="宋体"/>
        </w:rPr>
        <w:t xml:space="preserve">There is following agreement in RAN1#104-e about scheme of L1/L2 inter-cell mobility and the LS [3] has been sent to RAN2 after email discussion.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pStyle w:val="111"/>
              <w:numPr>
                <w:ilvl w:val="255"/>
                <w:numId w:val="0"/>
              </w:numPr>
              <w:tabs>
                <w:tab w:val="left" w:pos="720"/>
              </w:tabs>
              <w:snapToGrid w:val="0"/>
              <w:spacing w:after="0"/>
            </w:pPr>
            <w:r>
              <w:t xml:space="preserve">Send an LS to RAN2 on TCI state update (beam indication) using source RS configured for non-serving cell(s) for DL reception and UL transmission. The following topics are considered for the LS: </w:t>
            </w:r>
          </w:p>
          <w:p>
            <w:pPr>
              <w:pStyle w:val="111"/>
              <w:numPr>
                <w:ilvl w:val="255"/>
                <w:numId w:val="0"/>
              </w:numPr>
              <w:tabs>
                <w:tab w:val="left" w:pos="1440"/>
              </w:tabs>
              <w:snapToGrid w:val="0"/>
              <w:spacing w:after="0"/>
            </w:pPr>
            <w:r>
              <w:t>RRC configuration issues</w:t>
            </w:r>
          </w:p>
          <w:p>
            <w:pPr>
              <w:pStyle w:val="111"/>
              <w:numPr>
                <w:ilvl w:val="255"/>
                <w:numId w:val="0"/>
              </w:numPr>
              <w:tabs>
                <w:tab w:val="left" w:pos="1440"/>
              </w:tabs>
              <w:snapToGrid w:val="0"/>
              <w:spacing w:after="0"/>
              <w:ind w:firstLine="400"/>
            </w:pPr>
            <w:r>
              <w:t>Serving cell issues</w:t>
            </w:r>
          </w:p>
          <w:p>
            <w:pPr>
              <w:pStyle w:val="111"/>
              <w:numPr>
                <w:ilvl w:val="255"/>
                <w:numId w:val="0"/>
              </w:numPr>
              <w:tabs>
                <w:tab w:val="left" w:pos="1440"/>
              </w:tabs>
              <w:snapToGrid w:val="0"/>
              <w:spacing w:after="0"/>
              <w:ind w:firstLine="400"/>
            </w:pPr>
            <w:r>
              <w:t>C-RNTI issues</w:t>
            </w:r>
          </w:p>
          <w:p>
            <w:pPr>
              <w:pStyle w:val="111"/>
              <w:numPr>
                <w:ilvl w:val="255"/>
                <w:numId w:val="0"/>
              </w:numPr>
              <w:tabs>
                <w:tab w:val="left" w:pos="1440"/>
              </w:tabs>
              <w:snapToGrid w:val="0"/>
              <w:spacing w:after="0"/>
              <w:ind w:firstLine="400"/>
            </w:pPr>
            <w:r>
              <w:t>Issues related to CU-DU split</w:t>
            </w:r>
          </w:p>
          <w:p>
            <w:pPr>
              <w:pStyle w:val="111"/>
              <w:numPr>
                <w:ilvl w:val="255"/>
                <w:numId w:val="0"/>
              </w:numPr>
              <w:tabs>
                <w:tab w:val="left" w:pos="1440"/>
              </w:tabs>
              <w:snapToGrid w:val="0"/>
              <w:spacing w:after="0"/>
              <w:ind w:firstLine="400"/>
            </w:pPr>
            <w:r>
              <w:t>Inter-band CA issues</w:t>
            </w:r>
          </w:p>
          <w:p>
            <w:pPr>
              <w:pStyle w:val="111"/>
              <w:numPr>
                <w:ilvl w:val="255"/>
                <w:numId w:val="0"/>
              </w:numPr>
              <w:tabs>
                <w:tab w:val="left" w:pos="1440"/>
              </w:tabs>
              <w:snapToGrid w:val="0"/>
              <w:spacing w:after="0"/>
              <w:ind w:firstLine="400" w:firstLineChars="200"/>
              <w:rPr>
                <w:rFonts w:eastAsiaTheme="minorEastAsia"/>
              </w:rPr>
            </w:pPr>
            <w:r>
              <w:t>Inter-frequency issues</w:t>
            </w:r>
          </w:p>
        </w:tc>
      </w:tr>
    </w:tbl>
    <w:p>
      <w:pPr>
        <w:pStyle w:val="109"/>
        <w:numPr>
          <w:ilvl w:val="255"/>
          <w:numId w:val="0"/>
        </w:numPr>
        <w:snapToGrid w:val="0"/>
        <w:spacing w:before="120" w:after="120" w:afterLines="50" w:line="300" w:lineRule="auto"/>
        <w:jc w:val="both"/>
        <w:rPr>
          <w:rFonts w:eastAsia="宋体"/>
        </w:rPr>
      </w:pPr>
      <w:r>
        <w:rPr>
          <w:rFonts w:eastAsia="宋体"/>
        </w:rPr>
        <w:t>In our opinion, the serving cell and non-serving cell should be in a same serving cell group instead of in different serving cell groups which is too complexity. There are following schemes to allow the UE communicate with serving cell and non-serving cell simultaneously in a same serving cell group.</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Scheme-1: serving cell and </w:t>
      </w:r>
      <w:r>
        <w:rPr>
          <w:rFonts w:eastAsia="微软雅黑"/>
          <w:szCs w:val="20"/>
        </w:rPr>
        <w:t xml:space="preserve">non-serving </w:t>
      </w:r>
      <w:r>
        <w:rPr>
          <w:rFonts w:hint="eastAsia" w:eastAsia="微软雅黑"/>
          <w:szCs w:val="20"/>
        </w:rPr>
        <w:t xml:space="preserve">cell </w:t>
      </w:r>
      <w:r>
        <w:rPr>
          <w:rFonts w:eastAsia="微软雅黑"/>
          <w:szCs w:val="20"/>
        </w:rPr>
        <w:t>correspond to</w:t>
      </w:r>
      <w:r>
        <w:rPr>
          <w:rFonts w:hint="eastAsia" w:eastAsia="微软雅黑"/>
          <w:szCs w:val="20"/>
        </w:rPr>
        <w:t xml:space="preserve"> different serving cells which </w:t>
      </w:r>
      <w:r>
        <w:rPr>
          <w:rFonts w:eastAsia="微软雅黑"/>
          <w:szCs w:val="20"/>
        </w:rPr>
        <w:t xml:space="preserve">refer to separate </w:t>
      </w:r>
      <w:r>
        <w:rPr>
          <w:rFonts w:hint="eastAsia" w:eastAsia="微软雅黑"/>
          <w:szCs w:val="20"/>
        </w:rPr>
        <w:t>configuration logic unit</w:t>
      </w:r>
      <w:r>
        <w:rPr>
          <w:rFonts w:eastAsia="微软雅黑"/>
          <w:szCs w:val="20"/>
        </w:rPr>
        <w:t>s</w:t>
      </w:r>
      <w:r>
        <w:rPr>
          <w:rFonts w:hint="eastAsia" w:eastAsia="微软雅黑"/>
          <w:szCs w:val="20"/>
        </w:rPr>
        <w:t xml:space="preserve"> in current specification,</w:t>
      </w:r>
      <w:r>
        <w:rPr>
          <w:rFonts w:eastAsia="微软雅黑"/>
          <w:szCs w:val="20"/>
        </w:rPr>
        <w:t xml:space="preserve"> </w:t>
      </w:r>
      <w:r>
        <w:rPr>
          <w:rFonts w:hint="eastAsia" w:eastAsia="微软雅黑"/>
          <w:szCs w:val="20"/>
        </w:rPr>
        <w:t xml:space="preserve">i.e a serving cell of a MCG/SCG. The former serving cell just represents a cell with a PCI configured in current </w:t>
      </w:r>
      <w:r>
        <w:rPr>
          <w:i/>
          <w:iCs/>
        </w:rPr>
        <w:t>ServingCellConfigCommon</w:t>
      </w:r>
      <w:r>
        <w:rPr>
          <w:rFonts w:hint="eastAsia" w:eastAsia="宋体"/>
          <w:i/>
          <w:iCs/>
        </w:rPr>
        <w:t xml:space="preserve"> </w:t>
      </w:r>
      <w:r>
        <w:rPr>
          <w:rFonts w:hint="eastAsia" w:eastAsia="宋体"/>
        </w:rPr>
        <w:t>signaling and the later serving cell represents a serving cell of MCG/SCG. The n</w:t>
      </w:r>
      <w:r>
        <w:rPr>
          <w:rFonts w:eastAsia="宋体"/>
        </w:rPr>
        <w:t>on-serving</w:t>
      </w:r>
      <w:r>
        <w:rPr>
          <w:rFonts w:hint="eastAsia" w:eastAsia="宋体"/>
        </w:rPr>
        <w:t xml:space="preserve"> cell represents a cell with a PCI which is not configured in any current </w:t>
      </w:r>
      <w:r>
        <w:rPr>
          <w:i/>
          <w:iCs/>
        </w:rPr>
        <w:t>ServingCellConfigCommon</w:t>
      </w:r>
      <w:r>
        <w:rPr>
          <w:rFonts w:hint="eastAsia" w:eastAsia="宋体"/>
          <w:i/>
          <w:iCs/>
        </w:rPr>
        <w:t xml:space="preserve"> </w:t>
      </w:r>
      <w:r>
        <w:rPr>
          <w:rFonts w:hint="eastAsia" w:eastAsia="宋体"/>
        </w:rPr>
        <w:t>signaling</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Scheme-2: serving cell and </w:t>
      </w:r>
      <w:r>
        <w:rPr>
          <w:rFonts w:eastAsia="微软雅黑"/>
          <w:szCs w:val="20"/>
        </w:rPr>
        <w:t xml:space="preserve">non-serving </w:t>
      </w:r>
      <w:r>
        <w:rPr>
          <w:rFonts w:hint="eastAsia" w:eastAsia="微软雅黑"/>
          <w:szCs w:val="20"/>
        </w:rPr>
        <w:t xml:space="preserve">cell </w:t>
      </w:r>
      <w:r>
        <w:rPr>
          <w:rFonts w:eastAsia="微软雅黑"/>
          <w:szCs w:val="20"/>
        </w:rPr>
        <w:t>corresponds to</w:t>
      </w:r>
      <w:r>
        <w:rPr>
          <w:rFonts w:hint="eastAsia" w:eastAsia="微软雅黑"/>
          <w:szCs w:val="20"/>
        </w:rPr>
        <w:t xml:space="preserve"> different BWPs;</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Scheme-3: serving cell and neighboring cell </w:t>
      </w:r>
      <w:r>
        <w:rPr>
          <w:rFonts w:eastAsia="微软雅黑"/>
          <w:szCs w:val="20"/>
        </w:rPr>
        <w:t>corresponds to</w:t>
      </w:r>
      <w:r>
        <w:rPr>
          <w:rFonts w:hint="eastAsia" w:eastAsia="微软雅黑"/>
          <w:szCs w:val="20"/>
        </w:rPr>
        <w:t xml:space="preserve"> the same BWP with different configurations of parameters such as: PCI, </w:t>
      </w:r>
      <w:r>
        <w:rPr>
          <w:rFonts w:eastAsia="微软雅黑"/>
          <w:szCs w:val="20"/>
        </w:rPr>
        <w:t xml:space="preserve">SSB information, </w:t>
      </w:r>
      <w:r>
        <w:rPr>
          <w:rFonts w:hint="eastAsia" w:eastAsia="微软雅黑"/>
          <w:szCs w:val="20"/>
        </w:rPr>
        <w:t xml:space="preserve">RNTI, rate mating, power control information, wherein the RNTI comprises C-RNTI, SPS-RNTI, and so on. The power control information can include </w:t>
      </w:r>
      <w:r>
        <w:rPr>
          <w:rFonts w:hint="eastAsia" w:eastAsia="微软雅黑"/>
          <w:position w:val="-12"/>
          <w:szCs w:val="20"/>
        </w:rPr>
        <w:object>
          <v:shape id="_x0000_i1028" o:spt="75" type="#_x0000_t75" style="height:18.2pt;width:13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eastAsia="微软雅黑"/>
          <w:szCs w:val="20"/>
        </w:rPr>
        <w:t>, close loop index</w:t>
      </w:r>
      <w:r>
        <w:rPr>
          <w:rFonts w:eastAsia="微软雅黑"/>
          <w:szCs w:val="20"/>
        </w:rPr>
        <w:t>, etc</w:t>
      </w:r>
      <w:r>
        <w:rPr>
          <w:rFonts w:hint="eastAsia" w:eastAsia="微软雅黑"/>
          <w:szCs w:val="20"/>
        </w:rPr>
        <w:t>.</w:t>
      </w:r>
    </w:p>
    <w:p>
      <w:pPr>
        <w:snapToGrid w:val="0"/>
        <w:spacing w:before="60" w:beforeLines="25" w:after="120" w:afterLines="50" w:line="300" w:lineRule="auto"/>
        <w:jc w:val="both"/>
        <w:rPr>
          <w:rFonts w:eastAsia="宋体"/>
        </w:rPr>
      </w:pPr>
      <w:r>
        <w:rPr>
          <w:rFonts w:eastAsia="宋体"/>
          <w:lang w:val="en-GB"/>
        </w:rPr>
        <w:t>Along with the order from Scheme-1 to Scheme-3, t</w:t>
      </w:r>
      <w:r>
        <w:rPr>
          <w:rFonts w:hint="eastAsia" w:eastAsia="宋体"/>
          <w:lang w:val="en-GB"/>
        </w:rPr>
        <w:t xml:space="preserve">he </w:t>
      </w:r>
      <w:r>
        <w:rPr>
          <w:rFonts w:eastAsia="宋体"/>
          <w:lang w:val="en-GB"/>
        </w:rPr>
        <w:t xml:space="preserve">configuration </w:t>
      </w:r>
      <w:r>
        <w:rPr>
          <w:rFonts w:hint="eastAsia" w:eastAsia="宋体"/>
          <w:lang w:val="en-GB"/>
        </w:rPr>
        <w:t xml:space="preserve">flexibility between </w:t>
      </w:r>
      <w:r>
        <w:rPr>
          <w:rFonts w:eastAsia="宋体"/>
          <w:lang w:val="en-GB"/>
        </w:rPr>
        <w:t>non-serving</w:t>
      </w:r>
      <w:r>
        <w:rPr>
          <w:rFonts w:hint="eastAsia" w:eastAsia="宋体"/>
          <w:lang w:val="en-GB"/>
        </w:rPr>
        <w:t xml:space="preserve"> cell and serving cell decreases</w:t>
      </w:r>
      <w:r>
        <w:rPr>
          <w:rFonts w:eastAsia="宋体"/>
          <w:lang w:val="en-GB"/>
        </w:rPr>
        <w:t>,</w:t>
      </w:r>
      <w:r>
        <w:rPr>
          <w:rFonts w:hint="eastAsia" w:eastAsia="宋体"/>
        </w:rPr>
        <w:t xml:space="preserve"> the specific</w:t>
      </w:r>
      <w:r>
        <w:rPr>
          <w:rFonts w:eastAsia="宋体"/>
        </w:rPr>
        <w:t>ation impact</w:t>
      </w:r>
      <w:r>
        <w:rPr>
          <w:rFonts w:hint="eastAsia" w:eastAsia="宋体"/>
        </w:rPr>
        <w:t xml:space="preserve"> increases</w:t>
      </w:r>
      <w:r>
        <w:rPr>
          <w:rFonts w:hint="eastAsia" w:eastAsia="宋体"/>
          <w:lang w:val="en-GB"/>
        </w:rPr>
        <w:t>,</w:t>
      </w:r>
      <w:r>
        <w:rPr>
          <w:rFonts w:eastAsia="宋体"/>
          <w:lang w:val="en-GB"/>
        </w:rPr>
        <w:t xml:space="preserve"> and</w:t>
      </w:r>
      <w:r>
        <w:rPr>
          <w:rFonts w:hint="eastAsia" w:eastAsia="宋体"/>
          <w:lang w:val="en-GB"/>
        </w:rPr>
        <w:t xml:space="preserve"> the</w:t>
      </w:r>
      <w:r>
        <w:rPr>
          <w:rFonts w:hint="eastAsia" w:eastAsia="宋体"/>
        </w:rPr>
        <w:t xml:space="preserve"> UE</w:t>
      </w:r>
      <w:r>
        <w:rPr>
          <w:rFonts w:hint="eastAsia" w:eastAsia="宋体"/>
          <w:lang w:val="en-GB"/>
        </w:rPr>
        <w:t xml:space="preserve"> complexity </w:t>
      </w:r>
      <w:r>
        <w:rPr>
          <w:rFonts w:hint="eastAsia" w:eastAsia="宋体"/>
        </w:rPr>
        <w:t>decreases</w:t>
      </w:r>
      <w:r>
        <w:rPr>
          <w:rFonts w:hint="eastAsia" w:eastAsia="宋体"/>
          <w:lang w:val="en-GB"/>
        </w:rPr>
        <w:t>. In addition</w:t>
      </w:r>
      <w:r>
        <w:rPr>
          <w:rFonts w:eastAsia="宋体"/>
          <w:lang w:val="en-GB"/>
        </w:rPr>
        <w:t>,</w:t>
      </w:r>
      <w:r>
        <w:rPr>
          <w:rFonts w:hint="eastAsia" w:eastAsia="宋体"/>
          <w:lang w:val="en-GB"/>
        </w:rPr>
        <w:t xml:space="preserve"> considering discussion of inter-cell multi-TRP, TCI state can be </w:t>
      </w:r>
      <w:r>
        <w:rPr>
          <w:rFonts w:hint="eastAsia" w:eastAsia="宋体"/>
        </w:rPr>
        <w:t>associated</w:t>
      </w:r>
      <w:r>
        <w:rPr>
          <w:rFonts w:hint="eastAsia" w:eastAsia="宋体"/>
          <w:lang w:val="en-GB"/>
        </w:rPr>
        <w:t xml:space="preserve"> with cell information such as PCI and </w:t>
      </w:r>
      <w:r>
        <w:rPr>
          <w:rFonts w:eastAsia="宋体"/>
          <w:lang w:val="en-GB"/>
        </w:rPr>
        <w:t>non-serving cell SSB information</w:t>
      </w:r>
      <w:r>
        <w:rPr>
          <w:rFonts w:hint="eastAsia" w:eastAsia="宋体"/>
          <w:lang w:val="en-GB"/>
        </w:rPr>
        <w:t xml:space="preserve">. Then different TCI state groups of a BWP can be associated with different cell configurations. So we </w:t>
      </w:r>
      <w:r>
        <w:rPr>
          <w:rFonts w:eastAsia="宋体"/>
          <w:lang w:val="en-GB"/>
        </w:rPr>
        <w:t xml:space="preserve">slightly </w:t>
      </w:r>
      <w:r>
        <w:rPr>
          <w:rFonts w:hint="eastAsia" w:eastAsia="宋体"/>
          <w:lang w:val="en-GB"/>
        </w:rPr>
        <w:t>prefer Scheme-3</w:t>
      </w:r>
      <w:r>
        <w:rPr>
          <w:rFonts w:eastAsia="宋体"/>
          <w:lang w:val="en-GB"/>
        </w:rPr>
        <w:t>, and thus the related RRC parameters are applied upon the corresponding TCI indication.</w:t>
      </w:r>
      <w:r>
        <w:rPr>
          <w:rFonts w:hint="eastAsia" w:eastAsia="宋体"/>
        </w:rPr>
        <w:t xml:space="preserve"> </w:t>
      </w:r>
    </w:p>
    <w:p>
      <w:pPr>
        <w:pStyle w:val="111"/>
        <w:numPr>
          <w:ilvl w:val="0"/>
          <w:numId w:val="6"/>
        </w:numPr>
        <w:snapToGrid w:val="0"/>
        <w:spacing w:before="60" w:beforeLines="25" w:after="120" w:afterLines="50" w:line="300" w:lineRule="auto"/>
        <w:ind w:firstLineChars="0"/>
        <w:jc w:val="both"/>
        <w:rPr>
          <w:rFonts w:eastAsia="宋体"/>
        </w:rPr>
      </w:pPr>
      <w:r>
        <w:rPr>
          <w:rFonts w:hint="eastAsia" w:eastAsia="宋体"/>
        </w:rPr>
        <w:t xml:space="preserve">For example, multiple </w:t>
      </w:r>
      <w:r>
        <w:rPr>
          <w:rFonts w:eastAsia="宋体"/>
        </w:rPr>
        <w:t>candidates of non-serving information can be preconfigured by RRC, and then one o</w:t>
      </w:r>
      <w:r>
        <w:rPr>
          <w:rFonts w:hint="eastAsia" w:eastAsia="宋体"/>
        </w:rPr>
        <w:t xml:space="preserve">f the multiple </w:t>
      </w:r>
      <w:r>
        <w:rPr>
          <w:rFonts w:eastAsia="宋体"/>
        </w:rPr>
        <w:t xml:space="preserve">candidates </w:t>
      </w:r>
      <w:r>
        <w:rPr>
          <w:rFonts w:hint="eastAsia" w:eastAsia="宋体"/>
        </w:rPr>
        <w:t xml:space="preserve">can be associated with one TCI state group, or one SSB resource for measurement as described in section 2.3.1. The association between TCI state groups and </w:t>
      </w:r>
      <w:r>
        <w:rPr>
          <w:rFonts w:eastAsia="宋体"/>
        </w:rPr>
        <w:t>non-serving cell information</w:t>
      </w:r>
      <w:r>
        <w:rPr>
          <w:rFonts w:hint="eastAsia" w:eastAsia="宋体"/>
        </w:rPr>
        <w:t xml:space="preserve"> can also be done by MAC-CE. </w:t>
      </w:r>
      <w:r>
        <w:rPr>
          <w:rFonts w:hint="eastAsia" w:eastAsia="宋体"/>
          <w:lang w:val="en-US" w:eastAsia="zh-CN"/>
        </w:rPr>
        <w:t xml:space="preserve">The non-serving cell information is configured in UE-Specific signalling instead of cell specific signalling. </w:t>
      </w:r>
    </w:p>
    <w:p>
      <w:pPr>
        <w:pStyle w:val="111"/>
        <w:numPr>
          <w:ilvl w:val="0"/>
          <w:numId w:val="6"/>
        </w:numPr>
        <w:snapToGrid w:val="0"/>
        <w:spacing w:before="60" w:beforeLines="25" w:after="120" w:afterLines="50" w:line="300" w:lineRule="auto"/>
        <w:ind w:firstLineChars="0"/>
        <w:jc w:val="both"/>
        <w:rPr>
          <w:rFonts w:eastAsia="宋体"/>
        </w:rPr>
      </w:pPr>
      <w:r>
        <w:rPr>
          <w:rFonts w:eastAsia="宋体"/>
        </w:rPr>
        <w:t xml:space="preserve">Note that, if there is no association with non-serving cell information, it implies that the TCI state group corresponds to </w:t>
      </w:r>
      <w:r>
        <w:rPr>
          <w:rFonts w:hint="eastAsia" w:eastAsia="宋体"/>
          <w:lang w:val="en-US" w:eastAsia="zh-CN"/>
        </w:rPr>
        <w:t xml:space="preserve">configurations of </w:t>
      </w:r>
      <w:r>
        <w:rPr>
          <w:rFonts w:eastAsia="宋体"/>
        </w:rPr>
        <w:t>the current serving cell</w:t>
      </w:r>
      <w:r>
        <w:rPr>
          <w:rFonts w:hint="eastAsia" w:eastAsia="宋体"/>
          <w:lang w:val="en-US" w:eastAsia="zh-CN"/>
        </w:rPr>
        <w:t>, i.e some configurations in common signalling</w:t>
      </w:r>
      <w:r>
        <w:rPr>
          <w:rFonts w:eastAsia="宋体"/>
        </w:rPr>
        <w:t xml:space="preserve">.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eastAsia="微软雅黑"/>
          <w:b/>
          <w:bCs/>
          <w:i/>
          <w:iCs/>
          <w:szCs w:val="20"/>
        </w:rPr>
        <w:t>4</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non-serving cell information)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The parameter configuration is applied upon the corresponding TCI indication.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hint="eastAsia" w:eastAsia="微软雅黑"/>
          <w:i/>
          <w:szCs w:val="20"/>
        </w:rPr>
        <w:t xml:space="preserve">The association between configuration of cell and TCI state group can be done by MAC-CE. </w:t>
      </w:r>
    </w:p>
    <w:p>
      <w:pPr>
        <w:pStyle w:val="109"/>
        <w:numPr>
          <w:ilvl w:val="1"/>
          <w:numId w:val="6"/>
        </w:numPr>
        <w:snapToGrid w:val="0"/>
        <w:spacing w:before="60" w:beforeLines="25" w:after="60" w:afterLines="25" w:line="300" w:lineRule="auto"/>
        <w:ind w:left="840" w:hanging="420" w:firstLineChars="0"/>
        <w:jc w:val="both"/>
        <w:rPr>
          <w:rFonts w:eastAsia="微软雅黑"/>
          <w:i/>
          <w:szCs w:val="20"/>
        </w:rPr>
      </w:pPr>
      <w:r>
        <w:rPr>
          <w:rFonts w:eastAsia="宋体"/>
          <w:i/>
        </w:rPr>
        <w:t xml:space="preserve">Note: The TCI state group corresponds to </w:t>
      </w:r>
      <w:r>
        <w:rPr>
          <w:rFonts w:hint="eastAsia" w:eastAsia="宋体"/>
          <w:i/>
          <w:lang w:val="en-US" w:eastAsia="zh-CN"/>
        </w:rPr>
        <w:t xml:space="preserve">configuration of </w:t>
      </w:r>
      <w:r>
        <w:rPr>
          <w:rFonts w:eastAsia="宋体"/>
          <w:i/>
        </w:rPr>
        <w:t>the current serving cell, if the association is absent</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 beam selection for UE with multiple panels</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hint="eastAsia" w:eastAsia="宋体"/>
          <w:szCs w:val="20"/>
        </w:rPr>
        <w:t>In Rel-17, it should be enhanced to facilitate UL beam selection for UE</w:t>
      </w:r>
      <w:r>
        <w:rPr>
          <w:rFonts w:eastAsia="宋体"/>
          <w:szCs w:val="20"/>
        </w:rPr>
        <w:t>(</w:t>
      </w:r>
      <w:r>
        <w:rPr>
          <w:rFonts w:hint="eastAsia" w:eastAsia="宋体"/>
          <w:szCs w:val="20"/>
        </w:rPr>
        <w:t>s</w:t>
      </w:r>
      <w:r>
        <w:rPr>
          <w:rFonts w:eastAsia="宋体"/>
          <w:szCs w:val="20"/>
        </w:rPr>
        <w:t>)</w:t>
      </w:r>
      <w:r>
        <w:rPr>
          <w:rFonts w:hint="eastAsia" w:eastAsia="宋体"/>
          <w:szCs w:val="20"/>
        </w:rPr>
        <w:t xml:space="preserve"> equipped with multiple panels, considering UL coverage loss mitigation due to MPE, based on UL beam indication with the unified TCI framework for UL fast panel selection.</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Fast panel selection and antenna switching for UL transmission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RAN1#104</w:t>
      </w:r>
      <w:r>
        <w:rPr>
          <w:rFonts w:hint="eastAsia" w:eastAsia="微软雅黑"/>
          <w:szCs w:val="20"/>
        </w:rPr>
        <w:t>b</w:t>
      </w:r>
      <w:r>
        <w:rPr>
          <w:rFonts w:eastAsia="微软雅黑"/>
          <w:szCs w:val="20"/>
        </w:rPr>
        <w:t xml:space="preserve">-e, the following agreements including the support of </w:t>
      </w:r>
      <w:r>
        <w:rPr>
          <w:rFonts w:cs="Times"/>
          <w:szCs w:val="20"/>
        </w:rPr>
        <w:t>UE-initiated UL panel selection/activation</w:t>
      </w:r>
      <w:r>
        <w:rPr>
          <w:rFonts w:eastAsia="微软雅黑"/>
          <w:szCs w:val="20"/>
        </w:rPr>
        <w:t xml:space="preserve"> were reached for facilitating UL panel selection. In this subsection, we discuss the potential enhancement on UE fast panel switching.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jc w:val="both"/>
              <w:rPr>
                <w:rFonts w:cs="Times"/>
                <w:b/>
                <w:bCs/>
                <w:szCs w:val="20"/>
                <w:u w:val="single"/>
              </w:rPr>
            </w:pPr>
            <w:r>
              <w:rPr>
                <w:rFonts w:cs="Times"/>
                <w:b/>
                <w:bCs/>
                <w:szCs w:val="20"/>
                <w:u w:val="single"/>
              </w:rPr>
              <w:t>Agreement</w:t>
            </w:r>
          </w:p>
          <w:p>
            <w:pPr>
              <w:pStyle w:val="111"/>
              <w:numPr>
                <w:ilvl w:val="255"/>
                <w:numId w:val="0"/>
              </w:numPr>
              <w:autoSpaceDN w:val="0"/>
              <w:snapToGrid w:val="0"/>
              <w:spacing w:after="0" w:line="240" w:lineRule="auto"/>
              <w:jc w:val="both"/>
              <w:rPr>
                <w:rFonts w:cs="Times"/>
              </w:rPr>
            </w:pPr>
            <w:r>
              <w:rPr>
                <w:rFonts w:cs="Times"/>
              </w:rPr>
              <w:t xml:space="preserve">On Rel.17 enhancements to </w:t>
            </w:r>
            <w:r>
              <w:rPr>
                <w:rFonts w:eastAsia="Malgun Gothic" w:cs="Times"/>
                <w:bCs/>
              </w:rPr>
              <w:t>facilitate</w:t>
            </w:r>
            <w:r>
              <w:rPr>
                <w:rFonts w:cs="Times"/>
              </w:rPr>
              <w:t xml:space="preserve"> UE-initiated panel activation and selection, for CSI/beam measurement/reporting, down select and/or modify from the following candidates:</w:t>
            </w:r>
          </w:p>
          <w:p>
            <w:pPr>
              <w:pStyle w:val="111"/>
              <w:numPr>
                <w:ilvl w:val="0"/>
                <w:numId w:val="20"/>
              </w:numPr>
              <w:snapToGrid w:val="0"/>
              <w:spacing w:after="0" w:line="240" w:lineRule="auto"/>
              <w:ind w:firstLineChars="0"/>
              <w:rPr>
                <w:rFonts w:cs="Times"/>
              </w:rPr>
            </w:pPr>
            <w:r>
              <w:rPr>
                <w:rFonts w:cs="Times"/>
              </w:rPr>
              <w:t>Opt1-1: A panel entity corresponds to a reported CSI-RS and/or SSB resource index in a beam reporting instance</w:t>
            </w:r>
          </w:p>
          <w:p>
            <w:pPr>
              <w:pStyle w:val="111"/>
              <w:numPr>
                <w:ilvl w:val="1"/>
                <w:numId w:val="20"/>
              </w:numPr>
              <w:snapToGrid w:val="0"/>
              <w:spacing w:after="0" w:line="240" w:lineRule="auto"/>
              <w:ind w:firstLineChars="0"/>
              <w:rPr>
                <w:rFonts w:cs="Times"/>
              </w:rPr>
            </w:pPr>
            <w:r>
              <w:rPr>
                <w:rFonts w:cs="Times"/>
              </w:rPr>
              <w:t>The correspondence between a panel entity and a reported CSI-RS and/or SSB resource index is informed to NW</w:t>
            </w:r>
          </w:p>
          <w:p>
            <w:pPr>
              <w:pStyle w:val="111"/>
              <w:numPr>
                <w:ilvl w:val="2"/>
                <w:numId w:val="20"/>
              </w:numPr>
              <w:snapToGrid w:val="0"/>
              <w:spacing w:after="0" w:line="240" w:lineRule="auto"/>
              <w:ind w:firstLineChars="0"/>
              <w:rPr>
                <w:rFonts w:cs="Times"/>
              </w:rPr>
            </w:pPr>
            <w:r>
              <w:rPr>
                <w:rFonts w:cs="Times"/>
              </w:rPr>
              <w:t>FFS: How to inform through CSI/beam reporting framework</w:t>
            </w:r>
          </w:p>
          <w:p>
            <w:pPr>
              <w:pStyle w:val="111"/>
              <w:numPr>
                <w:ilvl w:val="1"/>
                <w:numId w:val="20"/>
              </w:numPr>
              <w:snapToGrid w:val="0"/>
              <w:spacing w:after="0" w:line="240" w:lineRule="auto"/>
              <w:ind w:firstLineChars="0"/>
              <w:rPr>
                <w:rFonts w:cs="Times"/>
              </w:rPr>
            </w:pPr>
            <w:r>
              <w:rPr>
                <w:rFonts w:cs="Times"/>
              </w:rPr>
              <w:t xml:space="preserve">FFS: Detailed design of the correspondence including the conveyed information </w:t>
            </w:r>
          </w:p>
          <w:p>
            <w:pPr>
              <w:pStyle w:val="111"/>
              <w:numPr>
                <w:ilvl w:val="1"/>
                <w:numId w:val="20"/>
              </w:numPr>
              <w:snapToGrid w:val="0"/>
              <w:spacing w:after="0" w:line="240" w:lineRule="auto"/>
              <w:ind w:firstLineChars="0"/>
              <w:rPr>
                <w:rFonts w:cs="Times"/>
              </w:rPr>
            </w:pPr>
            <w:r>
              <w:rPr>
                <w:rFonts w:cs="Times"/>
              </w:rPr>
              <w:t>Note: the correspondence between a CSI-RS and/or SSB resource index and a panel entity is determined by the UE (analogous to Rel-15/16)</w:t>
            </w:r>
          </w:p>
          <w:p>
            <w:pPr>
              <w:pStyle w:val="111"/>
              <w:numPr>
                <w:ilvl w:val="0"/>
                <w:numId w:val="20"/>
              </w:numPr>
              <w:snapToGrid w:val="0"/>
              <w:spacing w:after="0" w:line="240" w:lineRule="auto"/>
              <w:ind w:firstLineChars="0"/>
              <w:rPr>
                <w:rFonts w:cs="Times"/>
              </w:rPr>
            </w:pPr>
            <w:r>
              <w:rPr>
                <w:rFonts w:cs="Times"/>
              </w:rPr>
              <w:t>Opt1-2: A panel entity is referring to a new panel ID within CSI/beam reports</w:t>
            </w:r>
          </w:p>
          <w:p>
            <w:pPr>
              <w:pStyle w:val="111"/>
              <w:numPr>
                <w:ilvl w:val="1"/>
                <w:numId w:val="20"/>
              </w:numPr>
              <w:snapToGrid w:val="0"/>
              <w:spacing w:after="0" w:line="240" w:lineRule="auto"/>
              <w:ind w:firstLineChars="0"/>
              <w:rPr>
                <w:rFonts w:cs="Times"/>
              </w:rPr>
            </w:pPr>
            <w:r>
              <w:rPr>
                <w:rFonts w:cs="Times"/>
              </w:rPr>
              <w:t>FFS: Detailed design of the new panel ID including the information conveyed by the new panel ID</w:t>
            </w:r>
          </w:p>
          <w:p>
            <w:pPr>
              <w:pStyle w:val="111"/>
              <w:numPr>
                <w:ilvl w:val="1"/>
                <w:numId w:val="20"/>
              </w:numPr>
              <w:snapToGrid w:val="0"/>
              <w:spacing w:after="0" w:line="240" w:lineRule="auto"/>
              <w:ind w:firstLineChars="0"/>
              <w:rPr>
                <w:rFonts w:cs="Times"/>
              </w:rPr>
            </w:pPr>
            <w:r>
              <w:rPr>
                <w:rFonts w:cs="Times"/>
              </w:rPr>
              <w:t>Note: The association between the new panel ID and the panel entity is determined by the UE</w:t>
            </w:r>
          </w:p>
          <w:p>
            <w:pPr>
              <w:pStyle w:val="111"/>
              <w:numPr>
                <w:ilvl w:val="0"/>
                <w:numId w:val="20"/>
              </w:numPr>
              <w:snapToGrid w:val="0"/>
              <w:spacing w:after="0" w:line="240" w:lineRule="auto"/>
              <w:ind w:firstLineChars="0"/>
              <w:rPr>
                <w:rFonts w:cs="Times"/>
              </w:rPr>
            </w:pPr>
            <w:r>
              <w:rPr>
                <w:rFonts w:cs="Times"/>
              </w:rPr>
              <w:t>Opt1-3: No additional specification support</w:t>
            </w:r>
          </w:p>
          <w:p>
            <w:pPr>
              <w:pStyle w:val="111"/>
              <w:numPr>
                <w:ilvl w:val="0"/>
                <w:numId w:val="20"/>
              </w:numPr>
              <w:snapToGrid w:val="0"/>
              <w:spacing w:after="0" w:line="240" w:lineRule="auto"/>
              <w:ind w:firstLineChars="0"/>
              <w:rPr>
                <w:rFonts w:cs="Times"/>
              </w:rPr>
            </w:pPr>
            <w:r>
              <w:rPr>
                <w:rFonts w:cs="Times"/>
              </w:rPr>
              <w:t>The duration in which the above panel entity reference is valid and the respective setting are FFS</w:t>
            </w:r>
          </w:p>
          <w:p>
            <w:pPr>
              <w:snapToGrid w:val="0"/>
              <w:rPr>
                <w:rFonts w:cs="Times"/>
              </w:rPr>
            </w:pPr>
            <w:r>
              <w:rPr>
                <w:rFonts w:cs="Times"/>
              </w:rPr>
              <w:t>Note: “panel entity” is only used for discussion purpose</w:t>
            </w:r>
          </w:p>
          <w:p>
            <w:pPr>
              <w:snapToGrid w:val="0"/>
              <w:spacing w:after="0" w:line="240" w:lineRule="auto"/>
              <w:jc w:val="both"/>
              <w:rPr>
                <w:rFonts w:cs="Times"/>
                <w:b/>
                <w:bCs/>
                <w:szCs w:val="20"/>
                <w:u w:val="single"/>
              </w:rPr>
            </w:pPr>
            <w:r>
              <w:rPr>
                <w:rFonts w:cs="Times"/>
                <w:b/>
                <w:bCs/>
                <w:szCs w:val="20"/>
                <w:u w:val="single"/>
              </w:rPr>
              <w:t>Agreement</w:t>
            </w:r>
          </w:p>
          <w:p>
            <w:pPr>
              <w:pStyle w:val="111"/>
              <w:numPr>
                <w:ilvl w:val="255"/>
                <w:numId w:val="0"/>
              </w:numPr>
              <w:autoSpaceDN w:val="0"/>
              <w:snapToGrid w:val="0"/>
              <w:spacing w:after="0" w:line="240" w:lineRule="auto"/>
              <w:jc w:val="both"/>
              <w:rPr>
                <w:rFonts w:eastAsia="Malgun Gothic"/>
                <w:bCs/>
              </w:rPr>
            </w:pPr>
            <w:r>
              <w:t xml:space="preserve">On Rel.17 enhancements for MPUE, </w:t>
            </w:r>
            <w:r>
              <w:rPr>
                <w:rFonts w:eastAsia="Malgun Gothic"/>
                <w:bCs/>
              </w:rPr>
              <w:t xml:space="preserve">investigate and, </w:t>
            </w:r>
            <w:r>
              <w:rPr>
                <w:rFonts w:eastAsia="Malgun Gothic"/>
                <w:b/>
                <w:u w:val="single"/>
              </w:rPr>
              <w:t>if needed</w:t>
            </w:r>
            <w:r>
              <w:rPr>
                <w:rFonts w:eastAsia="Malgun Gothic"/>
                <w:bCs/>
              </w:rPr>
              <w:t>, specify the following:</w:t>
            </w:r>
          </w:p>
          <w:p>
            <w:pPr>
              <w:pStyle w:val="111"/>
              <w:numPr>
                <w:ilvl w:val="0"/>
                <w:numId w:val="21"/>
              </w:numPr>
              <w:autoSpaceDE w:val="0"/>
              <w:autoSpaceDN w:val="0"/>
              <w:snapToGrid w:val="0"/>
              <w:spacing w:after="0" w:line="240" w:lineRule="auto"/>
              <w:ind w:firstLineChars="0"/>
              <w:jc w:val="both"/>
              <w:rPr>
                <w:rFonts w:eastAsia="Malgun Gothic"/>
                <w:bCs/>
              </w:rPr>
            </w:pPr>
            <w:r>
              <w:rPr>
                <w:rFonts w:eastAsia="Malgun Gothic"/>
                <w:bCs/>
              </w:rPr>
              <w:t>UE reporting of panel-specific information as a UE capability, for example:</w:t>
            </w:r>
          </w:p>
          <w:p>
            <w:pPr>
              <w:pStyle w:val="111"/>
              <w:numPr>
                <w:ilvl w:val="1"/>
                <w:numId w:val="21"/>
              </w:numPr>
              <w:autoSpaceDE w:val="0"/>
              <w:autoSpaceDN w:val="0"/>
              <w:snapToGrid w:val="0"/>
              <w:spacing w:after="0" w:line="240" w:lineRule="auto"/>
              <w:ind w:firstLineChars="0"/>
              <w:jc w:val="both"/>
              <w:rPr>
                <w:rFonts w:eastAsia="Malgun Gothic"/>
                <w:bCs/>
              </w:rPr>
            </w:pPr>
            <w:r>
              <w:rPr>
                <w:rFonts w:eastAsia="Malgun Gothic"/>
                <w:bCs/>
                <w:lang w:eastAsia="ko-KR"/>
              </w:rPr>
              <w:t>Information related to the total number of DL/UL panel entities</w:t>
            </w:r>
          </w:p>
          <w:p>
            <w:pPr>
              <w:pStyle w:val="111"/>
              <w:numPr>
                <w:ilvl w:val="1"/>
                <w:numId w:val="21"/>
              </w:numPr>
              <w:autoSpaceDE w:val="0"/>
              <w:autoSpaceDN w:val="0"/>
              <w:snapToGrid w:val="0"/>
              <w:spacing w:after="0" w:line="240" w:lineRule="auto"/>
              <w:ind w:firstLineChars="0"/>
              <w:jc w:val="both"/>
              <w:rPr>
                <w:rFonts w:eastAsia="Malgun Gothic"/>
                <w:bCs/>
              </w:rPr>
            </w:pPr>
            <w:r>
              <w:rPr>
                <w:rFonts w:eastAsia="Malgun Gothic"/>
                <w:bCs/>
                <w:lang w:eastAsia="ko-KR"/>
              </w:rPr>
              <w:t>Information related to the number of (max) antenna ports/layers per panel entity</w:t>
            </w:r>
          </w:p>
          <w:p>
            <w:pPr>
              <w:pStyle w:val="111"/>
              <w:numPr>
                <w:ilvl w:val="1"/>
                <w:numId w:val="21"/>
              </w:numPr>
              <w:autoSpaceDE w:val="0"/>
              <w:autoSpaceDN w:val="0"/>
              <w:snapToGrid w:val="0"/>
              <w:spacing w:after="0" w:line="240" w:lineRule="auto"/>
              <w:ind w:firstLineChars="0"/>
              <w:jc w:val="both"/>
              <w:rPr>
                <w:rFonts w:eastAsia="Malgun Gothic"/>
                <w:bCs/>
              </w:rPr>
            </w:pPr>
            <w:r>
              <w:rPr>
                <w:rFonts w:eastAsia="Malgun Gothic"/>
                <w:bCs/>
                <w:lang w:eastAsia="ko-KR"/>
              </w:rPr>
              <w:t>Information related to the maximum number of resources per panel entity for SRS BM</w:t>
            </w:r>
          </w:p>
          <w:p>
            <w:pPr>
              <w:pStyle w:val="111"/>
              <w:numPr>
                <w:ilvl w:val="1"/>
                <w:numId w:val="21"/>
              </w:numPr>
              <w:autoSpaceDE w:val="0"/>
              <w:autoSpaceDN w:val="0"/>
              <w:snapToGrid w:val="0"/>
              <w:spacing w:after="0" w:line="240" w:lineRule="auto"/>
              <w:ind w:firstLineChars="0"/>
              <w:jc w:val="both"/>
              <w:rPr>
                <w:rFonts w:eastAsia="Malgun Gothic"/>
                <w:bCs/>
              </w:rPr>
            </w:pPr>
            <w:r>
              <w:rPr>
                <w:rFonts w:eastAsia="Malgun Gothic"/>
                <w:bCs/>
                <w:lang w:eastAsia="ko-KR"/>
              </w:rPr>
              <w:t xml:space="preserve">Information related to panel </w:t>
            </w:r>
            <w:r>
              <w:t>s</w:t>
            </w:r>
            <w:r>
              <w:rPr>
                <w:rFonts w:hint="eastAsia"/>
              </w:rPr>
              <w:t>election</w:t>
            </w:r>
            <w:r>
              <w:t xml:space="preserve"> </w:t>
            </w:r>
            <w:r>
              <w:rPr>
                <w:rFonts w:eastAsia="Malgun Gothic"/>
                <w:bCs/>
                <w:lang w:eastAsia="ko-KR"/>
              </w:rPr>
              <w:t>delay</w:t>
            </w:r>
          </w:p>
          <w:p>
            <w:pPr>
              <w:pStyle w:val="111"/>
              <w:numPr>
                <w:ilvl w:val="1"/>
                <w:numId w:val="21"/>
              </w:numPr>
              <w:autoSpaceDE w:val="0"/>
              <w:autoSpaceDN w:val="0"/>
              <w:snapToGrid w:val="0"/>
              <w:spacing w:after="0" w:line="240" w:lineRule="auto"/>
              <w:ind w:firstLineChars="0"/>
              <w:jc w:val="both"/>
              <w:rPr>
                <w:rFonts w:eastAsia="Malgun Gothic"/>
                <w:bCs/>
              </w:rPr>
            </w:pPr>
            <w:r>
              <w:rPr>
                <w:rFonts w:eastAsia="Malgun Gothic"/>
                <w:bCs/>
                <w:lang w:eastAsia="ko-KR"/>
              </w:rPr>
              <w:t xml:space="preserve">Information related to panel activation delay </w:t>
            </w:r>
          </w:p>
          <w:p>
            <w:pPr>
              <w:pStyle w:val="111"/>
              <w:numPr>
                <w:ilvl w:val="0"/>
                <w:numId w:val="21"/>
              </w:numPr>
              <w:autoSpaceDE w:val="0"/>
              <w:autoSpaceDN w:val="0"/>
              <w:snapToGrid w:val="0"/>
              <w:spacing w:after="0" w:line="240" w:lineRule="auto"/>
              <w:ind w:firstLineChars="0"/>
              <w:jc w:val="both"/>
              <w:rPr>
                <w:rFonts w:eastAsia="Malgun Gothic"/>
                <w:bCs/>
              </w:rPr>
            </w:pPr>
            <w:r>
              <w:rPr>
                <w:rFonts w:hint="eastAsia" w:eastAsia="Malgun Gothic"/>
                <w:bCs/>
              </w:rPr>
              <w:t>UE report</w:t>
            </w:r>
            <w:r>
              <w:rPr>
                <w:rFonts w:eastAsia="Malgun Gothic"/>
                <w:bCs/>
              </w:rPr>
              <w:t>ing</w:t>
            </w:r>
            <w:r>
              <w:rPr>
                <w:rFonts w:hint="eastAsia" w:eastAsia="Malgun Gothic"/>
                <w:bCs/>
              </w:rPr>
              <w:t xml:space="preserve"> information related to</w:t>
            </w:r>
            <w:r>
              <w:rPr>
                <w:rFonts w:eastAsia="Malgun Gothic"/>
                <w:bCs/>
              </w:rPr>
              <w:t xml:space="preserve"> minimal </w:t>
            </w:r>
            <w:r>
              <w:rPr>
                <w:rFonts w:eastAsia="Malgun Gothic"/>
                <w:bCs/>
                <w:lang w:eastAsia="ko-KR"/>
              </w:rPr>
              <w:t>activation/</w:t>
            </w:r>
            <w:r>
              <w:t>s</w:t>
            </w:r>
            <w:r>
              <w:rPr>
                <w:rFonts w:hint="eastAsia"/>
              </w:rPr>
              <w:t>election</w:t>
            </w:r>
            <w:r>
              <w:t xml:space="preserve"> </w:t>
            </w:r>
            <w:r>
              <w:rPr>
                <w:rFonts w:eastAsia="Malgun Gothic"/>
                <w:bCs/>
              </w:rPr>
              <w:t>delay for a panel based on L1 or L2 signaling</w:t>
            </w:r>
          </w:p>
          <w:p>
            <w:pPr>
              <w:pStyle w:val="111"/>
              <w:numPr>
                <w:ilvl w:val="0"/>
                <w:numId w:val="21"/>
              </w:numPr>
              <w:autoSpaceDE w:val="0"/>
              <w:autoSpaceDN w:val="0"/>
              <w:snapToGrid w:val="0"/>
              <w:spacing w:after="0" w:line="240" w:lineRule="auto"/>
              <w:ind w:firstLineChars="0"/>
              <w:jc w:val="both"/>
              <w:rPr>
                <w:rFonts w:eastAsia="Malgun Gothic"/>
                <w:bCs/>
              </w:rPr>
            </w:pPr>
            <w:r>
              <w:rPr>
                <w:rFonts w:eastAsia="Malgun Gothic"/>
                <w:bCs/>
              </w:rPr>
              <w:t xml:space="preserve">UE reporting of panel </w:t>
            </w:r>
            <w:r>
              <w:rPr>
                <w:rFonts w:eastAsia="Malgun Gothic"/>
                <w:bCs/>
                <w:lang w:eastAsia="ko-KR"/>
              </w:rPr>
              <w:t>activation/</w:t>
            </w:r>
            <w:r>
              <w:t>s</w:t>
            </w:r>
            <w:r>
              <w:rPr>
                <w:rFonts w:hint="eastAsia"/>
              </w:rPr>
              <w:t>election</w:t>
            </w:r>
            <w:r>
              <w:t xml:space="preserve"> </w:t>
            </w:r>
            <w:r>
              <w:rPr>
                <w:rFonts w:eastAsia="Malgun Gothic"/>
                <w:bCs/>
              </w:rPr>
              <w:t>status of a panel entity, e.g. active state for both DL and UL, or active state for DL only</w:t>
            </w:r>
          </w:p>
          <w:p>
            <w:pPr>
              <w:pStyle w:val="111"/>
              <w:numPr>
                <w:ilvl w:val="1"/>
                <w:numId w:val="21"/>
              </w:numPr>
              <w:autoSpaceDE w:val="0"/>
              <w:autoSpaceDN w:val="0"/>
              <w:snapToGrid w:val="0"/>
              <w:spacing w:after="0" w:line="240" w:lineRule="auto"/>
              <w:ind w:firstLineChars="0"/>
              <w:jc w:val="both"/>
              <w:rPr>
                <w:rFonts w:eastAsia="Malgun Gothic"/>
                <w:bCs/>
              </w:rPr>
            </w:pPr>
            <w:r>
              <w:rPr>
                <w:rFonts w:hint="eastAsia" w:eastAsia="Malgun Gothic"/>
                <w:bCs/>
                <w:lang w:eastAsia="ko-KR"/>
              </w:rPr>
              <w:t xml:space="preserve">FFS: </w:t>
            </w:r>
            <w:r>
              <w:rPr>
                <w:rFonts w:eastAsia="Malgun Gothic"/>
                <w:bCs/>
                <w:lang w:eastAsia="ko-KR"/>
              </w:rPr>
              <w:t>details of this information (e.g. minimal activation/</w:t>
            </w:r>
            <w:r>
              <w:t>s</w:t>
            </w:r>
            <w:r>
              <w:rPr>
                <w:rFonts w:hint="eastAsia"/>
              </w:rPr>
              <w:t>election</w:t>
            </w:r>
            <w:r>
              <w:t xml:space="preserve"> </w:t>
            </w:r>
            <w:r>
              <w:rPr>
                <w:rFonts w:eastAsia="Malgun Gothic"/>
                <w:bCs/>
                <w:lang w:eastAsia="ko-KR"/>
              </w:rPr>
              <w:t>delay for a panel) and signaling (e.g. L1 or L2 signaling)</w:t>
            </w:r>
          </w:p>
          <w:p>
            <w:pPr>
              <w:pStyle w:val="111"/>
              <w:numPr>
                <w:ilvl w:val="0"/>
                <w:numId w:val="21"/>
              </w:numPr>
              <w:autoSpaceDE w:val="0"/>
              <w:autoSpaceDN w:val="0"/>
              <w:snapToGrid w:val="0"/>
              <w:spacing w:after="0" w:line="240" w:lineRule="auto"/>
              <w:ind w:firstLineChars="0"/>
              <w:jc w:val="both"/>
              <w:rPr>
                <w:rFonts w:eastAsia="Malgun Gothic"/>
                <w:bCs/>
              </w:rPr>
            </w:pPr>
            <w:r>
              <w:rPr>
                <w:rFonts w:eastAsia="Malgun Gothic"/>
                <w:bCs/>
              </w:rPr>
              <w:t xml:space="preserve">UE-reported information in MPE report (if supported) is used to indicate the minimal </w:t>
            </w:r>
            <w:r>
              <w:rPr>
                <w:rFonts w:eastAsia="Malgun Gothic"/>
                <w:bCs/>
                <w:lang w:eastAsia="ko-KR"/>
              </w:rPr>
              <w:t>activation/</w:t>
            </w:r>
            <w:r>
              <w:t>s</w:t>
            </w:r>
            <w:r>
              <w:rPr>
                <w:rFonts w:hint="eastAsia"/>
              </w:rPr>
              <w:t>election</w:t>
            </w:r>
            <w:r>
              <w:t xml:space="preserve"> </w:t>
            </w:r>
            <w:r>
              <w:rPr>
                <w:rFonts w:eastAsia="Malgun Gothic"/>
                <w:bCs/>
              </w:rPr>
              <w:t>delay and panel activation/selection status</w:t>
            </w:r>
            <w:r>
              <w:rPr>
                <w:rFonts w:eastAsia="Malgun Gothic"/>
                <w:bCs/>
                <w:lang w:eastAsia="ko-KR"/>
              </w:rPr>
              <w:t xml:space="preserve"> </w:t>
            </w:r>
          </w:p>
          <w:p>
            <w:pPr>
              <w:pStyle w:val="111"/>
              <w:numPr>
                <w:ilvl w:val="0"/>
                <w:numId w:val="21"/>
              </w:numPr>
              <w:autoSpaceDE w:val="0"/>
              <w:autoSpaceDN w:val="0"/>
              <w:snapToGrid w:val="0"/>
              <w:spacing w:after="0" w:line="240" w:lineRule="auto"/>
              <w:ind w:firstLineChars="0"/>
              <w:jc w:val="both"/>
              <w:rPr>
                <w:rFonts w:eastAsia="Malgun Gothic"/>
                <w:bCs/>
              </w:rPr>
            </w:pPr>
            <w:r>
              <w:rPr>
                <w:rFonts w:eastAsia="Malgun Gothic"/>
                <w:bCs/>
                <w:lang w:eastAsia="ko-KR"/>
              </w:rPr>
              <w:t>Note: above ‘panel entity’ is a logical entity and how to map physical panels to the logical entities is up to UE implementation</w:t>
            </w:r>
          </w:p>
          <w:p>
            <w:pPr>
              <w:pStyle w:val="111"/>
              <w:numPr>
                <w:ilvl w:val="0"/>
                <w:numId w:val="21"/>
              </w:numPr>
              <w:autoSpaceDE w:val="0"/>
              <w:autoSpaceDN w:val="0"/>
              <w:snapToGrid w:val="0"/>
              <w:spacing w:after="0" w:line="240" w:lineRule="auto"/>
              <w:ind w:firstLineChars="0"/>
              <w:jc w:val="both"/>
              <w:rPr>
                <w:rFonts w:eastAsia="Malgun Gothic"/>
                <w:bCs/>
              </w:rPr>
            </w:pPr>
            <w:r>
              <w:rPr>
                <w:rFonts w:eastAsia="Malgun Gothic"/>
                <w:bCs/>
              </w:rPr>
              <w:t>Note</w:t>
            </w:r>
            <w:r>
              <w:rPr>
                <w:rFonts w:hint="eastAsia" w:eastAsia="Malgun Gothic"/>
                <w:bCs/>
              </w:rPr>
              <w:t xml:space="preserve">: This will depend on </w:t>
            </w:r>
            <w:r>
              <w:rPr>
                <w:rFonts w:eastAsia="Malgun Gothic"/>
                <w:bCs/>
              </w:rPr>
              <w:t xml:space="preserve">the final outcome of </w:t>
            </w:r>
            <w:r>
              <w:rPr>
                <w:rFonts w:hint="eastAsia" w:eastAsia="Malgun Gothic"/>
                <w:bCs/>
              </w:rPr>
              <w:t>whether</w:t>
            </w:r>
            <w:r>
              <w:rPr>
                <w:rFonts w:hint="eastAsia" w:ascii="PMingLiU" w:hAnsi="PMingLiU" w:eastAsia="PMingLiU"/>
                <w:bCs/>
                <w:lang w:eastAsia="zh-TW"/>
              </w:rPr>
              <w:t xml:space="preserve"> </w:t>
            </w:r>
            <w:r>
              <w:t xml:space="preserve">specification support for </w:t>
            </w:r>
            <w:r>
              <w:rPr>
                <w:rFonts w:hint="eastAsia"/>
              </w:rPr>
              <w:t xml:space="preserve">UE-initiated panel </w:t>
            </w:r>
            <w:r>
              <w:rPr>
                <w:rFonts w:eastAsia="Malgun Gothic"/>
                <w:bCs/>
                <w:lang w:eastAsia="ko-KR"/>
              </w:rPr>
              <w:t>activation/</w:t>
            </w:r>
            <w:r>
              <w:t>s</w:t>
            </w:r>
            <w:r>
              <w:rPr>
                <w:rFonts w:hint="eastAsia"/>
              </w:rPr>
              <w:t>election</w:t>
            </w:r>
            <w:r>
              <w:t xml:space="preserve"> is agreed </w:t>
            </w:r>
          </w:p>
          <w:p>
            <w:pPr>
              <w:snapToGrid w:val="0"/>
              <w:spacing w:after="0" w:line="240" w:lineRule="auto"/>
              <w:jc w:val="both"/>
              <w:rPr>
                <w:rFonts w:cs="Times"/>
                <w:b/>
                <w:bCs/>
                <w:szCs w:val="20"/>
                <w:u w:val="single"/>
              </w:rPr>
            </w:pPr>
            <w:r>
              <w:rPr>
                <w:rFonts w:cs="Times"/>
                <w:b/>
                <w:bCs/>
                <w:szCs w:val="20"/>
                <w:u w:val="single"/>
              </w:rPr>
              <w:t>Agreement</w:t>
            </w:r>
          </w:p>
          <w:p>
            <w:pPr>
              <w:pStyle w:val="111"/>
              <w:numPr>
                <w:ilvl w:val="255"/>
                <w:numId w:val="0"/>
              </w:numPr>
              <w:autoSpaceDN w:val="0"/>
              <w:snapToGrid w:val="0"/>
              <w:spacing w:after="0" w:line="240" w:lineRule="auto"/>
              <w:jc w:val="both"/>
              <w:rPr>
                <w:rFonts w:eastAsia="Malgun Gothic"/>
                <w:bCs/>
              </w:rPr>
            </w:pPr>
            <w:r>
              <w:t>On Rel.17 enhancements for MPUE, f</w:t>
            </w:r>
            <w:r>
              <w:rPr>
                <w:rFonts w:eastAsia="Malgun Gothic"/>
                <w:bCs/>
              </w:rPr>
              <w:t>or codebook based UL transmission, decide by August RAN1 meeting whether to support CB-based SRS resources with different numbers of ports</w:t>
            </w:r>
          </w:p>
          <w:p>
            <w:pPr>
              <w:pStyle w:val="111"/>
              <w:numPr>
                <w:ilvl w:val="0"/>
                <w:numId w:val="22"/>
              </w:numPr>
              <w:autoSpaceDE w:val="0"/>
              <w:autoSpaceDN w:val="0"/>
              <w:snapToGrid w:val="0"/>
              <w:spacing w:after="0" w:line="240" w:lineRule="auto"/>
              <w:ind w:firstLineChars="0"/>
              <w:jc w:val="both"/>
              <w:rPr>
                <w:rFonts w:eastAsia="Malgun Gothic"/>
                <w:bCs/>
                <w:lang w:eastAsia="ko-KR"/>
              </w:rPr>
            </w:pPr>
            <w:r>
              <w:rPr>
                <w:rFonts w:eastAsia="Malgun Gothic"/>
                <w:bCs/>
                <w:lang w:eastAsia="ko-KR"/>
              </w:rPr>
              <w:t>FFS details (e.g. per resource or per resource set)</w:t>
            </w:r>
          </w:p>
          <w:p>
            <w:pPr>
              <w:pStyle w:val="111"/>
              <w:numPr>
                <w:ilvl w:val="0"/>
                <w:numId w:val="22"/>
              </w:numPr>
              <w:autoSpaceDE w:val="0"/>
              <w:autoSpaceDN w:val="0"/>
              <w:snapToGrid w:val="0"/>
              <w:spacing w:after="0" w:line="240" w:lineRule="auto"/>
              <w:ind w:firstLineChars="0"/>
              <w:jc w:val="both"/>
              <w:rPr>
                <w:rFonts w:eastAsia="Malgun Gothic"/>
                <w:bCs/>
                <w:lang w:eastAsia="ko-KR"/>
              </w:rPr>
            </w:pPr>
            <w:r>
              <w:rPr>
                <w:rFonts w:eastAsia="Malgun Gothic"/>
                <w:bCs/>
                <w:lang w:eastAsia="ko-KR"/>
              </w:rPr>
              <w:t>Note: the above is not for Rel-16 full power transmission but for Rel-17 panel-specific UL transmission</w:t>
            </w:r>
          </w:p>
          <w:p>
            <w:pPr>
              <w:pStyle w:val="111"/>
              <w:numPr>
                <w:ilvl w:val="0"/>
                <w:numId w:val="22"/>
              </w:numPr>
              <w:autoSpaceDE w:val="0"/>
              <w:autoSpaceDN w:val="0"/>
              <w:snapToGrid w:val="0"/>
              <w:spacing w:after="0" w:line="240" w:lineRule="auto"/>
              <w:ind w:firstLineChars="0"/>
              <w:jc w:val="both"/>
              <w:rPr>
                <w:rFonts w:eastAsia="Malgun Gothic"/>
                <w:bCs/>
                <w:lang w:eastAsia="ko-KR"/>
              </w:rPr>
            </w:pPr>
            <w:r>
              <w:rPr>
                <w:rFonts w:eastAsia="Malgun Gothic"/>
                <w:bCs/>
                <w:lang w:eastAsia="ko-KR"/>
              </w:rPr>
              <w:t>FFS: non-codebook based UL transmission for MPUE</w:t>
            </w:r>
            <w:r>
              <w:rPr>
                <w:rFonts w:hint="eastAsia" w:eastAsia="Malgun Gothic"/>
                <w:bCs/>
              </w:rPr>
              <w:t xml:space="preserve"> </w:t>
            </w:r>
          </w:p>
          <w:p>
            <w:pPr>
              <w:pStyle w:val="111"/>
              <w:numPr>
                <w:ilvl w:val="0"/>
                <w:numId w:val="22"/>
              </w:numPr>
              <w:autoSpaceDE w:val="0"/>
              <w:autoSpaceDN w:val="0"/>
              <w:snapToGrid w:val="0"/>
              <w:spacing w:after="0" w:line="240" w:lineRule="auto"/>
              <w:ind w:firstLineChars="0"/>
              <w:jc w:val="both"/>
              <w:rPr>
                <w:rFonts w:eastAsiaTheme="minorEastAsia"/>
              </w:rPr>
            </w:pPr>
            <w:r>
              <w:rPr>
                <w:rFonts w:hint="eastAsia" w:eastAsia="Malgun Gothic"/>
                <w:bCs/>
              </w:rPr>
              <w:t>F</w:t>
            </w:r>
            <w:r>
              <w:rPr>
                <w:rFonts w:eastAsia="Malgun Gothic"/>
                <w:bCs/>
              </w:rPr>
              <w:t>FS whether existing BWP switch based mechanism (discussed previously in Rel-16 power saving WI) can serve such purpose</w:t>
            </w:r>
            <w:r>
              <w:rPr>
                <w:rFonts w:eastAsia="Malgun Gothic"/>
                <w:bCs/>
                <w:lang w:eastAsia="ko-KR"/>
              </w:rPr>
              <w:t xml:space="preserve"> </w:t>
            </w: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UE-initialized UL panel selection/activation</w:t>
      </w:r>
    </w:p>
    <w:p>
      <w:pPr>
        <w:overflowPunct w:val="0"/>
        <w:autoSpaceDE w:val="0"/>
        <w:autoSpaceDN w:val="0"/>
        <w:adjustRightInd w:val="0"/>
        <w:snapToGrid w:val="0"/>
        <w:spacing w:before="60" w:beforeLines="25" w:after="120" w:line="300" w:lineRule="auto"/>
        <w:jc w:val="both"/>
        <w:textAlignment w:val="baseline"/>
        <w:rPr>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 </w:t>
      </w:r>
    </w:p>
    <w:p>
      <w:pPr>
        <w:pStyle w:val="111"/>
        <w:numPr>
          <w:ilvl w:val="0"/>
          <w:numId w:val="6"/>
        </w:numPr>
        <w:snapToGrid w:val="0"/>
        <w:spacing w:before="120" w:after="120" w:afterLines="50" w:line="300" w:lineRule="auto"/>
        <w:ind w:firstLineChars="0"/>
        <w:jc w:val="both"/>
        <w:rPr>
          <w:szCs w:val="20"/>
        </w:rPr>
      </w:pPr>
      <w:r>
        <w:rPr>
          <w:szCs w:val="20"/>
        </w:rPr>
        <w:t xml:space="preserve">As agreed above, </w:t>
      </w: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One example for state switching for UE panel operation can be found in Figure </w:t>
      </w:r>
      <w:r>
        <w:rPr>
          <w:rFonts w:hint="eastAsia" w:eastAsia="宋体"/>
          <w:szCs w:val="20"/>
        </w:rPr>
        <w:t>3</w:t>
      </w:r>
      <w:r>
        <w:rPr>
          <w:szCs w:val="20"/>
        </w:rPr>
        <w:t>.</w:t>
      </w:r>
    </w:p>
    <w:p>
      <w:pPr>
        <w:pStyle w:val="111"/>
        <w:numPr>
          <w:ilvl w:val="0"/>
          <w:numId w:val="6"/>
        </w:numPr>
        <w:snapToGrid w:val="0"/>
        <w:spacing w:before="120" w:after="120" w:afterLines="50" w:line="300" w:lineRule="auto"/>
        <w:ind w:firstLineChars="0"/>
        <w:jc w:val="both"/>
        <w:rPr>
          <w:szCs w:val="20"/>
        </w:rPr>
      </w:pPr>
      <w:r>
        <w:rPr>
          <w:szCs w:val="20"/>
          <w:u w:val="single"/>
        </w:rPr>
        <w:t xml:space="preserve">Note that the maximum number of antenna groups and activated antenna groups are based on UE capability signaling, and the global ID for UE </w:t>
      </w:r>
      <w:r>
        <w:rPr>
          <w:rFonts w:eastAsia="微软雅黑"/>
          <w:szCs w:val="20"/>
          <w:u w:val="single"/>
        </w:rPr>
        <w:t>panel</w:t>
      </w:r>
      <w:r>
        <w:rPr>
          <w:szCs w:val="20"/>
          <w:u w:val="single"/>
        </w:rPr>
        <w:t xml:space="preserve">(s) is used for reporting and indication. </w:t>
      </w:r>
    </w:p>
    <w:p>
      <w:pPr>
        <w:pStyle w:val="111"/>
        <w:numPr>
          <w:ilvl w:val="1"/>
          <w:numId w:val="6"/>
        </w:numPr>
        <w:snapToGrid w:val="0"/>
        <w:spacing w:before="120" w:after="120" w:afterLines="50" w:line="300" w:lineRule="auto"/>
        <w:ind w:firstLineChars="0"/>
        <w:jc w:val="both"/>
        <w:rPr>
          <w:szCs w:val="20"/>
        </w:rPr>
      </w:pPr>
      <w:r>
        <w:rPr>
          <w:szCs w:val="20"/>
        </w:rPr>
        <w:t xml:space="preserve">For instance, a UE can report that it </w:t>
      </w:r>
      <w:r>
        <w:rPr>
          <w:rFonts w:eastAsia="微软雅黑"/>
          <w:szCs w:val="20"/>
          <w:lang w:eastAsia="en-US"/>
        </w:rPr>
        <w:t>supports</w:t>
      </w:r>
      <w:r>
        <w:rPr>
          <w:szCs w:val="20"/>
        </w:rPr>
        <w:t xml:space="preserve"> up to 3 UE panels, but only up to 2 UE panels can be activated for DL and UL transmission. Then, a global ID for UE panels, i.e., from 0 to 2, to be reported is used rather than a relative ID within the report.</w:t>
      </w:r>
    </w:p>
    <w:p>
      <w:pPr>
        <w:numPr>
          <w:ilvl w:val="255"/>
          <w:numId w:val="0"/>
        </w:numPr>
        <w:overflowPunct w:val="0"/>
        <w:autoSpaceDE w:val="0"/>
        <w:autoSpaceDN w:val="0"/>
        <w:adjustRightInd w:val="0"/>
        <w:snapToGrid w:val="0"/>
        <w:spacing w:before="60" w:beforeLines="25" w:after="120" w:line="300" w:lineRule="auto"/>
        <w:jc w:val="center"/>
        <w:textAlignment w:val="baseline"/>
      </w:pPr>
      <w:r>
        <w:object>
          <v:shape id="_x0000_i1029" o:spt="75" type="#_x0000_t75" style="height:225.55pt;width:329.2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9" r:id="rId12">
            <o:LockedField>false</o:LockedField>
          </o:OLEObject>
        </w:object>
      </w:r>
    </w:p>
    <w:p>
      <w:pPr>
        <w:numPr>
          <w:ilvl w:val="255"/>
          <w:numId w:val="0"/>
        </w:numPr>
        <w:overflowPunct w:val="0"/>
        <w:autoSpaceDE w:val="0"/>
        <w:autoSpaceDN w:val="0"/>
        <w:adjustRightInd w:val="0"/>
        <w:snapToGrid w:val="0"/>
        <w:spacing w:before="60" w:beforeLines="25"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3</w:t>
      </w:r>
      <w:r>
        <w:rPr>
          <w:rFonts w:hint="eastAsia"/>
          <w:szCs w:val="20"/>
        </w:rPr>
        <w:t xml:space="preserve"> </w:t>
      </w:r>
      <w:r>
        <w:rPr>
          <w:szCs w:val="20"/>
        </w:rPr>
        <w:t>State switching for UE panel operation</w:t>
      </w:r>
    </w:p>
    <w:p>
      <w:pPr>
        <w:snapToGrid w:val="0"/>
        <w:spacing w:before="60" w:beforeLines="25" w:after="60" w:afterLines="25" w:line="240" w:lineRule="auto"/>
        <w:jc w:val="both"/>
        <w:rPr>
          <w:rFonts w:eastAsia="微软雅黑"/>
          <w:i/>
          <w:szCs w:val="20"/>
        </w:rPr>
      </w:pPr>
      <w:r>
        <w:rPr>
          <w:rFonts w:eastAsia="微软雅黑"/>
          <w:b/>
          <w:i/>
          <w:szCs w:val="20"/>
        </w:rPr>
        <w:t>Proposal 15:</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r>
        <w:rPr>
          <w:rFonts w:hint="eastAsia" w:eastAsiaTheme="minorEastAsia"/>
          <w:i/>
          <w:szCs w:val="20"/>
        </w:rPr>
        <w:t xml:space="preserve"> (Opt1-2)</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Codebook and non-codebook based PUSCH transmission</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eastAsia="微软雅黑"/>
          <w:szCs w:val="20"/>
        </w:rPr>
        <w:t xml:space="preserve">Based on the agreed assumption for MPUE, the number of antenna ports and UL power control parameter corresponding to different UE panels may be different. </w:t>
      </w:r>
      <w:r>
        <w:rPr>
          <w:rFonts w:hint="eastAsia" w:eastAsia="微软雅黑"/>
          <w:iCs/>
          <w:szCs w:val="20"/>
        </w:rPr>
        <w:t>In order to facilitate independent number of ports and independent UL power control for different UE panels, more than one SRS resource set can be introduced for both CB and NCB PUSCH transmission. F</w:t>
      </w:r>
      <w:r>
        <w:rPr>
          <w:szCs w:val="20"/>
        </w:rPr>
        <w:t xml:space="preserve">or CB, the SRS resources from different sets </w:t>
      </w:r>
      <w:r>
        <w:rPr>
          <w:rFonts w:hint="eastAsia" w:eastAsia="宋体"/>
          <w:szCs w:val="20"/>
        </w:rPr>
        <w:t xml:space="preserve">can support </w:t>
      </w:r>
      <w:r>
        <w:rPr>
          <w:szCs w:val="20"/>
        </w:rPr>
        <w:t>different number of ports</w:t>
      </w:r>
      <w:r>
        <w:rPr>
          <w:rFonts w:hint="eastAsia" w:eastAsia="宋体"/>
          <w:szCs w:val="20"/>
        </w:rPr>
        <w:t>; f</w:t>
      </w:r>
      <w:r>
        <w:rPr>
          <w:szCs w:val="20"/>
        </w:rPr>
        <w:t>or NCB, the SRS sets may have different number of SRS resources</w:t>
      </w:r>
      <w:r>
        <w:rPr>
          <w:rFonts w:hint="eastAsia" w:eastAsia="宋体"/>
          <w:szCs w:val="20"/>
        </w:rPr>
        <w:t xml:space="preserve">. </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宋体"/>
          <w:szCs w:val="20"/>
        </w:rPr>
        <w:t>Besides, the consideration of dynamical TRP switching for different SRS resource sets has been taken on for Rel-17 mTRP-PUSCH transmission, and then the corresponding DCI signaling enhancement can be reused directly.</w:t>
      </w:r>
    </w:p>
    <w:p>
      <w:pPr>
        <w:snapToGrid w:val="0"/>
        <w:spacing w:before="60" w:beforeLines="25" w:after="60" w:afterLines="25" w:line="240" w:lineRule="auto"/>
        <w:jc w:val="both"/>
        <w:rPr>
          <w:rFonts w:eastAsia="微软雅黑"/>
          <w:i/>
          <w:szCs w:val="20"/>
        </w:rPr>
      </w:pPr>
      <w:r>
        <w:rPr>
          <w:rFonts w:eastAsia="微软雅黑"/>
          <w:b/>
          <w:i/>
          <w:szCs w:val="20"/>
        </w:rPr>
        <w:t>Proposal 16:</w:t>
      </w:r>
      <w:r>
        <w:rPr>
          <w:rFonts w:hint="eastAsia" w:eastAsia="微软雅黑"/>
          <w:b/>
          <w:i/>
          <w:szCs w:val="20"/>
        </w:rPr>
        <w:t xml:space="preserve"> </w:t>
      </w:r>
      <w:r>
        <w:rPr>
          <w:rFonts w:hint="eastAsia" w:eastAsia="微软雅黑"/>
          <w:i/>
          <w:szCs w:val="20"/>
        </w:rPr>
        <w:t>For both CB and NCB PUSCH transmission, more than one SRS resource sets can be introduced for facilitating independent number of ports of different UE panel and UL power control</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rFonts w:hint="eastAsia" w:eastAsia="微软雅黑"/>
          <w:i/>
          <w:szCs w:val="20"/>
        </w:rPr>
        <w:t>F</w:t>
      </w:r>
      <w:r>
        <w:rPr>
          <w:i/>
          <w:szCs w:val="20"/>
        </w:rPr>
        <w:t>or CB, the SRS resources from different sets may have different number of ports.</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i/>
          <w:szCs w:val="20"/>
        </w:rPr>
        <w:t>For NCB, the SRS sets may have different number of SRS resources</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rFonts w:hint="eastAsia" w:eastAsia="微软雅黑"/>
          <w:i/>
          <w:szCs w:val="20"/>
        </w:rPr>
        <w:t>Reuse DCI signaling for Rel-17 mTRP-PUSCH (dynamical TRP switching) for SRS resource set indication besides SRI</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Inter-panel antenna switching</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Also, we need to consider the AP-SRS triggering with a large triggering offset for panel activation, which is similar to AP-CSI-RS beam switching in Rel-15, e.g., 224 or 336 OFDM symbols.</w:t>
      </w:r>
      <w:r>
        <w:rPr>
          <w:rFonts w:hint="eastAsia" w:eastAsia="微软雅黑"/>
          <w:szCs w:val="20"/>
        </w:rPr>
        <w:t xml:space="preserve"> </w:t>
      </w:r>
      <w:r>
        <w:rPr>
          <w:rFonts w:eastAsia="微软雅黑"/>
          <w:szCs w:val="20"/>
        </w:rPr>
        <w:t xml:space="preserve">In such case, the sounding procedure of antenna switching may be equivalent to that of fast panel switching. For instance, one example for inter-panel antenna switching is described in Figure </w:t>
      </w:r>
      <w:r>
        <w:rPr>
          <w:rFonts w:hint="eastAsia" w:eastAsia="微软雅黑"/>
          <w:szCs w:val="20"/>
        </w:rPr>
        <w:t>4</w:t>
      </w:r>
      <w:r>
        <w:rPr>
          <w:rFonts w:eastAsia="微软雅黑"/>
          <w:szCs w:val="20"/>
        </w:rPr>
        <w:t>. In such case, there may be different spatial relations applied to the respective UE panels, and the restriction about “same spatial relation for AP-SRS resources in a set for antenna switching” in the current spec may become invalid herein. It can be observed that the working assumption on the architecture of UE panels is very essential for the subsequent enhancement for fast UE panel switching.</w:t>
      </w:r>
    </w:p>
    <w:p>
      <w:pPr>
        <w:snapToGrid w:val="0"/>
        <w:spacing w:before="120" w:after="120" w:afterLines="50" w:line="240" w:lineRule="auto"/>
        <w:jc w:val="center"/>
        <w:rPr>
          <w:rFonts w:eastAsia="微软雅黑"/>
          <w:szCs w:val="20"/>
        </w:rPr>
      </w:pPr>
      <w:r>
        <w:object>
          <v:shape id="_x0000_i1030" o:spt="75" type="#_x0000_t75" style="height:132.3pt;width:223.8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4</w:t>
      </w:r>
      <w:r>
        <w:rPr>
          <w:rFonts w:hint="eastAsia"/>
          <w:szCs w:val="20"/>
        </w:rPr>
        <w:t xml:space="preserve"> </w:t>
      </w:r>
      <w:r>
        <w:rPr>
          <w:szCs w:val="20"/>
        </w:rPr>
        <w:t>Diagram for inter-panel antenna switching</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7</w:t>
      </w:r>
      <w:r>
        <w:rPr>
          <w:rFonts w:eastAsia="微软雅黑"/>
          <w:b/>
          <w:i/>
          <w:szCs w:val="20"/>
        </w:rPr>
        <w:t>:</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RAN1#104</w:t>
      </w:r>
      <w:r>
        <w:rPr>
          <w:rFonts w:hint="eastAsia" w:eastAsia="微软雅黑"/>
          <w:szCs w:val="20"/>
        </w:rPr>
        <w:t>b</w:t>
      </w:r>
      <w:r>
        <w:rPr>
          <w:rFonts w:eastAsia="微软雅黑"/>
          <w:szCs w:val="20"/>
        </w:rPr>
        <w:t>-e meeting, the following agreement was reached for FR2 MPE mitigation. In this subsection, we discuss the potential enhancement on FR2 MPE mitigation.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contextualSpacing/>
              <w:rPr>
                <w:rFonts w:cs="Times"/>
                <w:b/>
                <w:bCs/>
                <w:szCs w:val="20"/>
                <w:u w:val="single"/>
              </w:rPr>
            </w:pPr>
            <w:r>
              <w:rPr>
                <w:rFonts w:cs="Times"/>
                <w:b/>
                <w:bCs/>
                <w:szCs w:val="20"/>
                <w:u w:val="single"/>
              </w:rPr>
              <w:t>Agreement</w:t>
            </w:r>
          </w:p>
          <w:p>
            <w:pPr>
              <w:snapToGrid w:val="0"/>
              <w:spacing w:after="0" w:line="240" w:lineRule="auto"/>
              <w:jc w:val="both"/>
              <w:rPr>
                <w:rFonts w:cs="Times"/>
              </w:rPr>
            </w:pPr>
            <w:r>
              <w:rPr>
                <w:rFonts w:cs="Times"/>
              </w:rPr>
              <w:t xml:space="preserve">On Rel.17 enhancements to facilitate </w:t>
            </w:r>
            <w:r>
              <w:rPr>
                <w:rFonts w:ascii="Times" w:hAnsi="Times" w:eastAsia="Batang" w:cs="Times"/>
                <w:lang w:val="en-GB"/>
              </w:rPr>
              <w:t>MPE</w:t>
            </w:r>
            <w:r>
              <w:rPr>
                <w:rFonts w:cs="Times"/>
              </w:rPr>
              <w:t xml:space="preserve"> mitigation, in RAN1#105-e, further discuss to down-select at least one or combine from the following options:</w:t>
            </w:r>
          </w:p>
          <w:p>
            <w:pPr>
              <w:pStyle w:val="111"/>
              <w:numPr>
                <w:ilvl w:val="0"/>
                <w:numId w:val="23"/>
              </w:numPr>
              <w:snapToGrid w:val="0"/>
              <w:spacing w:after="0" w:line="240" w:lineRule="auto"/>
              <w:ind w:firstLineChars="0"/>
              <w:jc w:val="both"/>
              <w:rPr>
                <w:rFonts w:cs="Times"/>
              </w:rPr>
            </w:pPr>
            <w:r>
              <w:rPr>
                <w:rFonts w:cs="Times"/>
              </w:rPr>
              <w:t xml:space="preserve">Opt 1A. {Rel.16 P-MPR based (beam/panel-level)} + Virtual PHR or a modified version </w:t>
            </w:r>
          </w:p>
          <w:p>
            <w:pPr>
              <w:pStyle w:val="111"/>
              <w:numPr>
                <w:ilvl w:val="1"/>
                <w:numId w:val="23"/>
              </w:numPr>
              <w:snapToGrid w:val="0"/>
              <w:spacing w:after="0" w:line="240" w:lineRule="auto"/>
              <w:ind w:firstLineChars="0"/>
              <w:jc w:val="both"/>
              <w:rPr>
                <w:rFonts w:cs="Times"/>
              </w:rPr>
            </w:pPr>
            <w:r>
              <w:rPr>
                <w:rFonts w:cs="Times"/>
              </w:rPr>
              <w:t>The modified version may be associated with each activated UL TCI or, if applicable, joint TCI, or associated with each of the reported SSBRI(s)/CRI(s) and/or panel indication (if configured) from candidate pool, if reported.</w:t>
            </w:r>
          </w:p>
          <w:p>
            <w:pPr>
              <w:pStyle w:val="111"/>
              <w:numPr>
                <w:ilvl w:val="1"/>
                <w:numId w:val="23"/>
              </w:numPr>
              <w:snapToGrid w:val="0"/>
              <w:spacing w:after="0" w:line="240" w:lineRule="auto"/>
              <w:ind w:firstLineChars="0"/>
              <w:jc w:val="both"/>
              <w:rPr>
                <w:rFonts w:cs="Times"/>
              </w:rPr>
            </w:pPr>
            <w:r>
              <w:rPr>
                <w:rFonts w:cs="Times"/>
              </w:rPr>
              <w:t>The reporting reuses the event-driven mechanisms from the Rel-16 P-MPR reporting</w:t>
            </w:r>
          </w:p>
          <w:p>
            <w:pPr>
              <w:pStyle w:val="111"/>
              <w:numPr>
                <w:ilvl w:val="1"/>
                <w:numId w:val="23"/>
              </w:numPr>
              <w:snapToGrid w:val="0"/>
              <w:spacing w:after="0" w:line="240" w:lineRule="auto"/>
              <w:ind w:firstLineChars="0"/>
              <w:jc w:val="both"/>
              <w:rPr>
                <w:rFonts w:cs="Times"/>
              </w:rPr>
            </w:pPr>
            <w:r>
              <w:rPr>
                <w:rFonts w:cs="Times"/>
              </w:rPr>
              <w:t>FFS: how to determine the virtual PHR or the modified version.</w:t>
            </w:r>
          </w:p>
          <w:p>
            <w:pPr>
              <w:pStyle w:val="111"/>
              <w:numPr>
                <w:ilvl w:val="0"/>
                <w:numId w:val="23"/>
              </w:numPr>
              <w:snapToGrid w:val="0"/>
              <w:spacing w:after="0" w:line="240" w:lineRule="auto"/>
              <w:ind w:firstLineChars="0"/>
              <w:jc w:val="both"/>
              <w:rPr>
                <w:rFonts w:cs="Times"/>
              </w:rPr>
            </w:pPr>
            <w:r>
              <w:rPr>
                <w:rFonts w:cs="Times"/>
              </w:rPr>
              <w:t>Opt 1D. {Rel.16 P-MPR based (beam/panel-level)}</w:t>
            </w:r>
          </w:p>
          <w:p>
            <w:pPr>
              <w:pStyle w:val="111"/>
              <w:numPr>
                <w:ilvl w:val="1"/>
                <w:numId w:val="23"/>
              </w:numPr>
              <w:snapToGrid w:val="0"/>
              <w:spacing w:after="0" w:line="240" w:lineRule="auto"/>
              <w:ind w:firstLineChars="0"/>
              <w:jc w:val="both"/>
              <w:rPr>
                <w:rFonts w:cs="Times"/>
              </w:rPr>
            </w:pPr>
            <w:r>
              <w:rPr>
                <w:rFonts w:cs="Times"/>
              </w:rPr>
              <w:t>The reporting reuses the event-driven mechanisms from the Rel-16 P-MPR reporting</w:t>
            </w:r>
          </w:p>
          <w:p>
            <w:pPr>
              <w:pStyle w:val="111"/>
              <w:numPr>
                <w:ilvl w:val="0"/>
                <w:numId w:val="23"/>
              </w:numPr>
              <w:snapToGrid w:val="0"/>
              <w:spacing w:after="0" w:line="240" w:lineRule="auto"/>
              <w:ind w:firstLineChars="0"/>
              <w:jc w:val="both"/>
              <w:rPr>
                <w:rFonts w:cs="Times"/>
              </w:rPr>
            </w:pPr>
            <w:r>
              <w:rPr>
                <w:rFonts w:cs="Times"/>
              </w:rPr>
              <w:t>Opt 2A. {SSBRI(s)/CRI(s) and/or panel indication} + L1-RSRP [L1-SINR] or a modified version that accounts for MPE effect associated with each of the reported SSBRI(s)/CRI(s) and/or panel indication (if configured)</w:t>
            </w:r>
          </w:p>
          <w:p>
            <w:pPr>
              <w:pStyle w:val="111"/>
              <w:numPr>
                <w:ilvl w:val="1"/>
                <w:numId w:val="24"/>
              </w:numPr>
              <w:snapToGrid w:val="0"/>
              <w:spacing w:after="0" w:line="240" w:lineRule="auto"/>
              <w:ind w:firstLineChars="0"/>
              <w:rPr>
                <w:rFonts w:cs="Times"/>
              </w:rPr>
            </w:pPr>
            <w:r>
              <w:rPr>
                <w:rFonts w:cs="Times"/>
              </w:rPr>
              <w:t>FFS: How panel-level L1-RSRP [L1-SINR] is reported if L1-RSRP [L1-SINR] is associated with panel</w:t>
            </w:r>
          </w:p>
          <w:p>
            <w:pPr>
              <w:pStyle w:val="111"/>
              <w:numPr>
                <w:ilvl w:val="1"/>
                <w:numId w:val="24"/>
              </w:numPr>
              <w:snapToGrid w:val="0"/>
              <w:spacing w:after="0" w:line="240" w:lineRule="auto"/>
              <w:ind w:firstLineChars="0"/>
              <w:rPr>
                <w:rFonts w:cs="Times"/>
              </w:rPr>
            </w:pPr>
            <w:r>
              <w:rPr>
                <w:rFonts w:cs="Times"/>
              </w:rPr>
              <w:t>FFS: Whether/how to account for MPE effect in L1-RSRP [L1-SINR] report, e.g. by using scaled L1-RSRP [L1-SINR]</w:t>
            </w:r>
          </w:p>
          <w:p>
            <w:pPr>
              <w:pStyle w:val="111"/>
              <w:numPr>
                <w:ilvl w:val="1"/>
                <w:numId w:val="23"/>
              </w:numPr>
              <w:snapToGrid w:val="0"/>
              <w:spacing w:after="0" w:line="240" w:lineRule="auto"/>
              <w:ind w:firstLineChars="0"/>
              <w:jc w:val="both"/>
              <w:rPr>
                <w:rFonts w:cs="Times"/>
              </w:rPr>
            </w:pPr>
            <w:r>
              <w:rPr>
                <w:rFonts w:cs="Times"/>
              </w:rPr>
              <w:t>FFS: Whether/how to enhance existing beam reporting format to support Option 2A</w:t>
            </w:r>
          </w:p>
          <w:p>
            <w:pPr>
              <w:pStyle w:val="111"/>
              <w:numPr>
                <w:ilvl w:val="1"/>
                <w:numId w:val="23"/>
              </w:numPr>
              <w:snapToGrid w:val="0"/>
              <w:spacing w:after="0" w:line="240" w:lineRule="auto"/>
              <w:ind w:firstLineChars="0"/>
              <w:jc w:val="both"/>
              <w:rPr>
                <w:rFonts w:cs="Times"/>
              </w:rPr>
            </w:pPr>
            <w:r>
              <w:rPr>
                <w:rFonts w:cs="Times"/>
              </w:rPr>
              <w:t>FFS: When multiple SSBRIs/CRIs and their corresponding metrics are reported in the same reporting instance, whether to allow mixture between the SSBRI(s)/CRI(s</w:t>
            </w:r>
            <w:r>
              <w:rPr>
                <w:rFonts w:cs="Times"/>
                <w:lang w:eastAsia="zh-TW"/>
              </w:rPr>
              <w:t>)</w:t>
            </w:r>
            <w:r>
              <w:rPr>
                <w:rFonts w:cs="Times"/>
              </w:rPr>
              <w:t xml:space="preserve">) intended for MPE mitigation and for DL beam reporting </w:t>
            </w:r>
          </w:p>
          <w:p>
            <w:pPr>
              <w:pStyle w:val="111"/>
              <w:numPr>
                <w:ilvl w:val="1"/>
                <w:numId w:val="23"/>
              </w:numPr>
              <w:snapToGrid w:val="0"/>
              <w:spacing w:after="0" w:line="240" w:lineRule="auto"/>
              <w:ind w:firstLineChars="0"/>
              <w:jc w:val="both"/>
              <w:rPr>
                <w:rFonts w:cs="Times"/>
              </w:rPr>
            </w:pPr>
            <w:r>
              <w:rPr>
                <w:rFonts w:cs="Times"/>
              </w:rPr>
              <w:t>FFS: Whether the reporting is UE-initiated (event-driven) and/or NW-initiated</w:t>
            </w:r>
          </w:p>
          <w:p>
            <w:pPr>
              <w:pStyle w:val="111"/>
              <w:numPr>
                <w:ilvl w:val="1"/>
                <w:numId w:val="23"/>
              </w:numPr>
              <w:snapToGrid w:val="0"/>
              <w:spacing w:after="0" w:line="240" w:lineRule="auto"/>
              <w:ind w:firstLineChars="0"/>
              <w:jc w:val="both"/>
              <w:rPr>
                <w:rFonts w:cs="Times"/>
              </w:rPr>
            </w:pPr>
            <w:r>
              <w:rPr>
                <w:rFonts w:cs="Times"/>
              </w:rPr>
              <w:t>FFS: If Opt2A is selected and there is no consensus on a modified L1-RSRP definition, at least the Rel-15 L1-RSRP definition is reused and virtual PHR may be added</w:t>
            </w:r>
          </w:p>
          <w:p>
            <w:pPr>
              <w:snapToGrid w:val="0"/>
              <w:spacing w:after="0" w:line="240" w:lineRule="auto"/>
              <w:jc w:val="both"/>
              <w:rPr>
                <w:rFonts w:ascii="Times" w:hAnsi="Times" w:eastAsia="Batang" w:cs="Times"/>
                <w:lang w:val="en-GB" w:eastAsia="ko-KR"/>
              </w:rPr>
            </w:pPr>
            <w:r>
              <w:rPr>
                <w:rFonts w:ascii="Times" w:hAnsi="Times" w:eastAsia="Batang" w:cs="Times"/>
                <w:lang w:val="en-GB" w:eastAsia="en-US"/>
              </w:rPr>
              <w:t xml:space="preserve">FFS: If gNB </w:t>
            </w:r>
            <w:r>
              <w:rPr>
                <w:rFonts w:ascii="Times" w:hAnsi="Times" w:eastAsia="Batang" w:cs="Times"/>
                <w:lang w:val="en-GB"/>
              </w:rPr>
              <w:t xml:space="preserve">acknowledges MPE report from UE for UE-initiated (event-driven) reporting </w:t>
            </w:r>
          </w:p>
          <w:p>
            <w:pPr>
              <w:snapToGrid w:val="0"/>
              <w:spacing w:after="0" w:line="240" w:lineRule="auto"/>
              <w:jc w:val="both"/>
              <w:rPr>
                <w:rFonts w:ascii="Times" w:hAnsi="Times" w:eastAsia="Batang" w:cs="Times"/>
                <w:lang w:val="en-GB" w:eastAsia="en-US"/>
              </w:rPr>
            </w:pPr>
            <w:r>
              <w:rPr>
                <w:rFonts w:ascii="Times" w:hAnsi="Times" w:eastAsia="Batang" w:cs="Times"/>
                <w:lang w:val="en-GB" w:eastAsia="en-US"/>
              </w:rPr>
              <w:t>FFS: If differential report is supported when multiple UL beams are reported in the same report</w:t>
            </w:r>
          </w:p>
          <w:p>
            <w:pPr>
              <w:numPr>
                <w:ilvl w:val="2"/>
                <w:numId w:val="9"/>
              </w:numPr>
              <w:snapToGrid w:val="0"/>
              <w:spacing w:after="0" w:line="240" w:lineRule="auto"/>
              <w:ind w:left="1440"/>
              <w:contextualSpacing/>
              <w:jc w:val="both"/>
              <w:rPr>
                <w:rFonts w:eastAsia="微软雅黑"/>
                <w:sz w:val="2"/>
              </w:rPr>
            </w:pP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Beam/panel-specific P-MPR</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In NR Rel-15, RAN4 introduced P-MPR</w:t>
      </w:r>
      <w:r>
        <w:rPr>
          <w:rFonts w:eastAsia="微软雅黑"/>
          <w:szCs w:val="20"/>
          <w:vertAlign w:val="subscript"/>
        </w:rPr>
        <w:t>f,c</w:t>
      </w:r>
      <w:r>
        <w:rPr>
          <w:rFonts w:eastAsia="微软雅黑"/>
          <w:szCs w:val="20"/>
        </w:rPr>
        <w:t xml:space="preserve"> for reducing the maximum transmission power, i.e., Pcmax, with MPE impacts. In Rel-16, an event-driven P-MPR reporting through PHR MAC-CE was introduced for informing the real-time MPE impact.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 xml:space="preserve">There is no doubt that the MPE impact for respective UL beams may be different, but, unfortunately, there is no beam/panel-specific P-MPR definition in either Rel-15 or Rel-16. Consequently, beam-specific P-MPR should be </w:t>
      </w:r>
      <w:r>
        <w:rPr>
          <w:rFonts w:hint="eastAsia" w:eastAsia="微软雅黑"/>
          <w:szCs w:val="20"/>
        </w:rPr>
        <w:t>in</w:t>
      </w:r>
      <w:r>
        <w:rPr>
          <w:rFonts w:eastAsia="微软雅黑"/>
          <w:szCs w:val="20"/>
        </w:rPr>
        <w:t xml:space="preserve">troduced firstly.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For instance, “P-MPR</w:t>
      </w:r>
      <w:r>
        <w:rPr>
          <w:rFonts w:eastAsia="微软雅黑"/>
          <w:szCs w:val="20"/>
          <w:vertAlign w:val="subscript"/>
        </w:rPr>
        <w:t>f,c</w:t>
      </w:r>
      <w:r>
        <w:rPr>
          <w:rFonts w:eastAsia="微软雅黑"/>
          <w:szCs w:val="20"/>
        </w:rPr>
        <w:t>” is replaced by “P-MPR</w:t>
      </w:r>
      <w:r>
        <w:rPr>
          <w:rFonts w:eastAsia="微软雅黑"/>
          <w:szCs w:val="20"/>
          <w:vertAlign w:val="subscript"/>
        </w:rPr>
        <w:t>s,f,c</w:t>
      </w:r>
      <w:r>
        <w:rPr>
          <w:rFonts w:eastAsia="微软雅黑"/>
          <w:szCs w:val="20"/>
        </w:rPr>
        <w:t>” where s denotes the UL beam index, e.g., RS resource/spatial relation/panel index.</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8</w:t>
      </w:r>
      <w:r>
        <w:rPr>
          <w:rFonts w:eastAsia="微软雅黑"/>
          <w:b/>
          <w:i/>
          <w:szCs w:val="20"/>
        </w:rPr>
        <w:t>:</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6"/>
        </w:numPr>
        <w:snapToGrid w:val="0"/>
        <w:spacing w:before="60" w:beforeLines="25" w:after="60" w:afterLines="25" w:line="300" w:lineRule="auto"/>
        <w:ind w:firstLineChars="0"/>
        <w:jc w:val="both"/>
        <w:rPr>
          <w:szCs w:val="20"/>
          <w:lang w:val="en-GB"/>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Enhancement on UE reporting for FR2 MPE mitigation</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 xml:space="preserve">On Rel.17 enhancements to facilitate MPE mitigation, UE-initiated (event-driven) reporting for MPE is prioritized over NW-initialized one in general. It is due to the fact that the MPE event is determined by UE side and gNB can NOT identify when MPE-related report is needed. Therefore, in our view, Opt 2A should be precluded considering that it may be more suitable for NW-initialized one, and meanwhile the motivation of introducing a modified L1-RSRP version that accounts for MPE effect, rather than reusing </w:t>
      </w:r>
      <w:r>
        <w:rPr>
          <w:rFonts w:cs="Times"/>
        </w:rPr>
        <w:t>Rel-15 L1-RSRP definition + virtual PHR,</w:t>
      </w:r>
      <w:r>
        <w:rPr>
          <w:szCs w:val="20"/>
          <w:lang w:val="en-GB"/>
        </w:rPr>
        <w:t xml:space="preserve"> is also unclear.</w:t>
      </w:r>
    </w:p>
    <w:p>
      <w:pPr>
        <w:overflowPunct w:val="0"/>
        <w:autoSpaceDE w:val="0"/>
        <w:autoSpaceDN w:val="0"/>
        <w:adjustRightInd w:val="0"/>
        <w:spacing w:before="120" w:beforeLines="50" w:after="120" w:line="300" w:lineRule="auto"/>
        <w:jc w:val="both"/>
        <w:textAlignment w:val="baseline"/>
        <w:rPr>
          <w:i/>
          <w:szCs w:val="20"/>
          <w:lang w:val="en-GB"/>
        </w:rPr>
      </w:pPr>
      <w:r>
        <w:rPr>
          <w:rFonts w:eastAsia="微软雅黑"/>
          <w:b/>
          <w:i/>
          <w:szCs w:val="20"/>
        </w:rPr>
        <w:t xml:space="preserve">Proposal </w:t>
      </w:r>
      <w:r>
        <w:rPr>
          <w:rFonts w:hint="eastAsia" w:eastAsia="微软雅黑"/>
          <w:b/>
          <w:i/>
          <w:szCs w:val="20"/>
        </w:rPr>
        <w:t>19</w:t>
      </w:r>
      <w:r>
        <w:rPr>
          <w:rFonts w:eastAsia="微软雅黑"/>
          <w:b/>
          <w:i/>
          <w:szCs w:val="20"/>
        </w:rPr>
        <w:t>:</w:t>
      </w:r>
      <w:r>
        <w:rPr>
          <w:rFonts w:hint="eastAsia" w:eastAsia="微软雅黑"/>
          <w:b/>
          <w:i/>
          <w:szCs w:val="20"/>
        </w:rPr>
        <w:t xml:space="preserve"> </w:t>
      </w:r>
      <w:r>
        <w:rPr>
          <w:i/>
          <w:szCs w:val="20"/>
          <w:lang w:val="en-GB"/>
        </w:rPr>
        <w:t xml:space="preserve">On Rel.17 enhancements to facilitate MPE mitigation, UE-initiated (event-driven) reporting for MPE is prioritized over NW-initialized one </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Regarding two candidate solution of Opt 1A and Opt 1D, we prefer Opt 1A due to the following reason:</w:t>
      </w:r>
    </w:p>
    <w:p>
      <w:pPr>
        <w:pStyle w:val="111"/>
        <w:numPr>
          <w:ilvl w:val="0"/>
          <w:numId w:val="6"/>
        </w:numPr>
        <w:overflowPunct w:val="0"/>
        <w:autoSpaceDE w:val="0"/>
        <w:autoSpaceDN w:val="0"/>
        <w:adjustRightInd w:val="0"/>
        <w:spacing w:before="120" w:beforeLines="50" w:after="120" w:line="300" w:lineRule="auto"/>
        <w:ind w:firstLineChars="0"/>
        <w:jc w:val="both"/>
        <w:textAlignment w:val="baseline"/>
        <w:rPr>
          <w:szCs w:val="20"/>
          <w:lang w:val="en-GB"/>
        </w:rPr>
      </w:pPr>
      <w:r>
        <w:rPr>
          <w:szCs w:val="20"/>
          <w:lang w:val="en-GB"/>
        </w:rPr>
        <w:t>The real UL transmission power is determined by the min value between Pcmax and required power. For PUSCH transmission, we have the following formula for calculating transmission power.</w:t>
      </w:r>
    </w:p>
    <w:p>
      <w:pPr>
        <w:overflowPunct w:val="0"/>
        <w:autoSpaceDE w:val="0"/>
        <w:autoSpaceDN w:val="0"/>
        <w:adjustRightInd w:val="0"/>
        <w:spacing w:before="120" w:beforeLines="50" w:after="120" w:line="300" w:lineRule="auto"/>
        <w:jc w:val="both"/>
        <w:textAlignment w:val="baseline"/>
        <w:rPr>
          <w:szCs w:val="20"/>
          <w:lang w:val="en-GB"/>
        </w:rPr>
      </w:pPr>
      <w:r>
        <w:rPr>
          <w:position w:val="-32"/>
        </w:rPr>
        <w:drawing>
          <wp:inline distT="0" distB="0" distL="0" distR="0">
            <wp:extent cx="5951220" cy="4806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1220" cy="480695"/>
                    </a:xfrm>
                    <a:prstGeom prst="rect">
                      <a:avLst/>
                    </a:prstGeom>
                    <a:noFill/>
                    <a:ln>
                      <a:noFill/>
                    </a:ln>
                  </pic:spPr>
                </pic:pic>
              </a:graphicData>
            </a:graphic>
          </wp:inline>
        </w:drawing>
      </w:r>
    </w:p>
    <w:p>
      <w:pPr>
        <w:pStyle w:val="111"/>
        <w:numPr>
          <w:ilvl w:val="0"/>
          <w:numId w:val="11"/>
        </w:numPr>
        <w:overflowPunct w:val="0"/>
        <w:autoSpaceDE w:val="0"/>
        <w:autoSpaceDN w:val="0"/>
        <w:adjustRightInd w:val="0"/>
        <w:spacing w:before="120" w:beforeLines="50" w:after="120" w:line="300" w:lineRule="auto"/>
        <w:ind w:firstLineChars="0"/>
        <w:jc w:val="both"/>
        <w:textAlignment w:val="baseline"/>
        <w:rPr>
          <w:szCs w:val="20"/>
          <w:lang w:val="en-GB"/>
        </w:rPr>
      </w:pPr>
      <w:r>
        <w:rPr>
          <w:szCs w:val="20"/>
          <w:lang w:val="en-GB"/>
        </w:rPr>
        <w:t xml:space="preserve">In general, whether the performance is degraded by MPE impact is up to the real transmission. </w:t>
      </w:r>
    </w:p>
    <w:p>
      <w:pPr>
        <w:pStyle w:val="111"/>
        <w:numPr>
          <w:ilvl w:val="1"/>
          <w:numId w:val="6"/>
        </w:numPr>
        <w:snapToGrid w:val="0"/>
        <w:spacing w:before="120" w:after="120" w:afterLines="50" w:line="300" w:lineRule="auto"/>
        <w:ind w:firstLineChars="0"/>
        <w:jc w:val="both"/>
        <w:rPr>
          <w:szCs w:val="20"/>
          <w:lang w:val="en-GB"/>
        </w:rPr>
      </w:pPr>
      <w:r>
        <w:rPr>
          <w:szCs w:val="20"/>
          <w:lang w:val="en-GB"/>
        </w:rPr>
        <w:t xml:space="preserve">For instance, the required UL power is 15 dBm for PUSCH transmission </w:t>
      </w:r>
      <w:r>
        <w:rPr>
          <w:i/>
          <w:szCs w:val="20"/>
          <w:lang w:val="en-GB"/>
        </w:rPr>
        <w:t>i</w:t>
      </w:r>
      <w:r>
        <w:rPr>
          <w:szCs w:val="20"/>
          <w:lang w:val="en-GB"/>
        </w:rPr>
        <w:t xml:space="preserve">, and consequently there is still no impact even the Pcmax is reduced to 16dBm from 23dBm due to MPE. </w:t>
      </w:r>
    </w:p>
    <w:p>
      <w:pPr>
        <w:pStyle w:val="111"/>
        <w:numPr>
          <w:ilvl w:val="0"/>
          <w:numId w:val="11"/>
        </w:numPr>
        <w:overflowPunct w:val="0"/>
        <w:autoSpaceDE w:val="0"/>
        <w:autoSpaceDN w:val="0"/>
        <w:adjustRightInd w:val="0"/>
        <w:spacing w:before="120" w:beforeLines="50" w:after="120" w:line="300" w:lineRule="auto"/>
        <w:ind w:firstLineChars="0"/>
        <w:jc w:val="both"/>
        <w:textAlignment w:val="baseline"/>
        <w:rPr>
          <w:rFonts w:eastAsia="宋体"/>
          <w:szCs w:val="20"/>
        </w:rPr>
      </w:pPr>
      <w:r>
        <w:rPr>
          <w:rFonts w:hint="eastAsia" w:eastAsia="宋体"/>
          <w:szCs w:val="20"/>
        </w:rPr>
        <w:t>I</w:t>
      </w:r>
      <w:r>
        <w:rPr>
          <w:szCs w:val="20"/>
          <w:lang w:val="en-GB"/>
        </w:rPr>
        <w:t>f beam reporting is only based on MPE rather than both MPE and the virtual/real transmission, the UL beam (with low MPE but large path loss) recommended by reporting may be useless, and more power is wasted for keeping the same performance. On the other hand, beam specific PHR reporting, i.e., difference between Pcmax and the required transmission power, can well present the MPE impact transparently, and a UL beam re-indication can be performed by gNB if a low PHR, e.g., 0-dB or negative, is received for the current beam.</w:t>
      </w:r>
    </w:p>
    <w:p>
      <w:pPr>
        <w:overflowPunct w:val="0"/>
        <w:autoSpaceDE w:val="0"/>
        <w:autoSpaceDN w:val="0"/>
        <w:adjustRightInd w:val="0"/>
        <w:spacing w:before="120" w:beforeLines="50" w:after="120" w:line="300" w:lineRule="auto"/>
        <w:jc w:val="both"/>
        <w:textAlignment w:val="baseline"/>
        <w:rPr>
          <w:rFonts w:eastAsia="宋体"/>
          <w:szCs w:val="20"/>
        </w:rPr>
      </w:pPr>
      <w:r>
        <w:rPr>
          <w:rFonts w:hint="eastAsia" w:eastAsia="宋体"/>
          <w:szCs w:val="20"/>
        </w:rPr>
        <w:t>For the candidate pool in Opt 1A, there are two alternatives:</w:t>
      </w:r>
      <w:r>
        <w:rPr>
          <w:rFonts w:cs="Times"/>
        </w:rPr>
        <w:t xml:space="preserve"> activated UL</w:t>
      </w:r>
      <w:r>
        <w:rPr>
          <w:rFonts w:hint="eastAsia" w:cs="Times"/>
        </w:rPr>
        <w:t>/joint</w:t>
      </w:r>
      <w:r>
        <w:rPr>
          <w:rFonts w:cs="Times"/>
        </w:rPr>
        <w:t xml:space="preserve"> TCI</w:t>
      </w:r>
      <w:r>
        <w:rPr>
          <w:rFonts w:hint="eastAsia" w:cs="Times"/>
        </w:rPr>
        <w:t xml:space="preserve"> set and RRC configured </w:t>
      </w:r>
      <w:r>
        <w:rPr>
          <w:rFonts w:cs="Times"/>
        </w:rPr>
        <w:t>SSBRI(s)/CRI(s)</w:t>
      </w:r>
      <w:r>
        <w:rPr>
          <w:rFonts w:hint="eastAsia" w:cs="Times"/>
        </w:rPr>
        <w:t xml:space="preserve"> set. The former may </w:t>
      </w:r>
      <w:r>
        <w:rPr>
          <w:rFonts w:cs="Times"/>
        </w:rPr>
        <w:t>have low measurement</w:t>
      </w:r>
      <w:r>
        <w:rPr>
          <w:rFonts w:hint="eastAsia" w:cs="Times"/>
        </w:rPr>
        <w:t>, but the reported beam domain is limited within an</w:t>
      </w:r>
      <w:r>
        <w:rPr>
          <w:rFonts w:cs="Times"/>
        </w:rPr>
        <w:t xml:space="preserve"> activated UL</w:t>
      </w:r>
      <w:r>
        <w:rPr>
          <w:rFonts w:hint="eastAsia" w:cs="Times"/>
        </w:rPr>
        <w:t>/joint</w:t>
      </w:r>
      <w:r>
        <w:rPr>
          <w:rFonts w:cs="Times"/>
        </w:rPr>
        <w:t xml:space="preserve"> TCI</w:t>
      </w:r>
      <w:r>
        <w:rPr>
          <w:rFonts w:hint="eastAsia" w:cs="Times"/>
        </w:rPr>
        <w:t xml:space="preserve"> set which are activated for transmission, e.g., a set of TCI states with beams around a main beam direction. But RRC configured </w:t>
      </w:r>
      <w:r>
        <w:rPr>
          <w:rFonts w:cs="Times"/>
        </w:rPr>
        <w:t>SSBRI(s)/CRI(s)</w:t>
      </w:r>
      <w:r>
        <w:rPr>
          <w:rFonts w:hint="eastAsia" w:cs="Times"/>
        </w:rPr>
        <w:t xml:space="preserve"> set may have larger coverage for beam selection, and UE may recommend better TCI states considering both MPE and PHR. </w:t>
      </w:r>
      <w:r>
        <w:rPr>
          <w:rFonts w:hint="eastAsia" w:eastAsia="宋体"/>
          <w:szCs w:val="20"/>
        </w:rPr>
        <w:t xml:space="preserve">Therefore, we prefer </w:t>
      </w:r>
      <w:r>
        <w:rPr>
          <w:rFonts w:hint="eastAsia" w:cs="Times"/>
        </w:rPr>
        <w:t xml:space="preserve">RRC configured </w:t>
      </w:r>
      <w:r>
        <w:rPr>
          <w:rFonts w:cs="Times"/>
        </w:rPr>
        <w:t>SSBRI(s)/CRI(s)</w:t>
      </w:r>
      <w:r>
        <w:rPr>
          <w:rFonts w:hint="eastAsia" w:cs="Times"/>
        </w:rPr>
        <w:t xml:space="preserve"> set as candidate pool in </w:t>
      </w:r>
      <w:r>
        <w:rPr>
          <w:rFonts w:cs="Times"/>
        </w:rPr>
        <w:t>Opt 1A.</w:t>
      </w:r>
    </w:p>
    <w:p>
      <w:pPr>
        <w:overflowPunct w:val="0"/>
        <w:autoSpaceDE w:val="0"/>
        <w:autoSpaceDN w:val="0"/>
        <w:adjustRightInd w:val="0"/>
        <w:spacing w:before="120" w:beforeLines="50" w:after="120" w:line="300" w:lineRule="auto"/>
        <w:jc w:val="both"/>
        <w:textAlignment w:val="baseline"/>
        <w:rPr>
          <w:szCs w:val="20"/>
          <w:lang w:val="en-GB"/>
        </w:rPr>
      </w:pPr>
      <w:r>
        <w:rPr>
          <w:rFonts w:hint="eastAsia"/>
          <w:szCs w:val="20"/>
          <w:lang w:val="en-GB"/>
        </w:rPr>
        <w:t>In</w:t>
      </w:r>
      <w:r>
        <w:rPr>
          <w:szCs w:val="20"/>
          <w:lang w:val="en-GB"/>
        </w:rPr>
        <w:t xml:space="preserve"> order to detect the candidate UL beams with low MPE impact, the virtual PHR should be further enhanced to report </w:t>
      </w:r>
      <w:r>
        <w:rPr>
          <w:rFonts w:hint="eastAsia" w:eastAsia="宋体"/>
          <w:szCs w:val="20"/>
        </w:rPr>
        <w:t xml:space="preserve">for the selected </w:t>
      </w:r>
      <w:r>
        <w:rPr>
          <w:szCs w:val="20"/>
          <w:lang w:val="en-GB"/>
        </w:rPr>
        <w:t>SSBRI(s)/CRI(s)</w:t>
      </w:r>
      <w:r>
        <w:rPr>
          <w:rFonts w:hint="eastAsia" w:eastAsia="宋体"/>
          <w:szCs w:val="20"/>
        </w:rPr>
        <w:t>.</w:t>
      </w:r>
      <w:r>
        <w:rPr>
          <w:szCs w:val="20"/>
          <w:lang w:val="en-GB"/>
        </w:rPr>
        <w:t xml:space="preserve"> </w:t>
      </w:r>
      <w:r>
        <w:rPr>
          <w:rFonts w:hint="eastAsia" w:eastAsia="宋体"/>
          <w:szCs w:val="20"/>
        </w:rPr>
        <w:t>A</w:t>
      </w:r>
      <w:r>
        <w:rPr>
          <w:szCs w:val="20"/>
          <w:lang w:val="en-GB"/>
        </w:rPr>
        <w:t xml:space="preserve">nd in such case, </w:t>
      </w:r>
      <w:r>
        <w:rPr>
          <w:rFonts w:eastAsia="微软雅黑"/>
          <w:szCs w:val="20"/>
        </w:rPr>
        <w:t xml:space="preserve">the PL value for the virtual PHR calculation is determined according to the </w:t>
      </w:r>
      <w:r>
        <w:rPr>
          <w:szCs w:val="20"/>
          <w:lang w:val="en-GB"/>
        </w:rPr>
        <w:t>SSBRI(s)/CRI(s)</w:t>
      </w:r>
      <w:r>
        <w:rPr>
          <w:rFonts w:hint="eastAsia" w:eastAsia="宋体"/>
          <w:szCs w:val="20"/>
        </w:rPr>
        <w:t xml:space="preserve"> instead of </w:t>
      </w:r>
      <w:r>
        <w:t xml:space="preserve">using </w:t>
      </w:r>
      <w:r>
        <w:rPr>
          <w:i/>
        </w:rPr>
        <w:t xml:space="preserve">pusch-PathlossReferenceRS-Id = </w:t>
      </w:r>
      <w:r>
        <w:t xml:space="preserve">0, </w:t>
      </w:r>
      <w:r>
        <w:rPr>
          <w:rFonts w:hint="eastAsia" w:eastAsia="宋体"/>
        </w:rPr>
        <w:t>as in Rel-15/16</w:t>
      </w:r>
      <w:r>
        <w:rPr>
          <w:rFonts w:eastAsia="微软雅黑"/>
          <w:szCs w:val="20"/>
        </w:rPr>
        <w:t>.</w:t>
      </w:r>
      <w:r>
        <w:rPr>
          <w:szCs w:val="20"/>
          <w:lang w:val="en-GB"/>
        </w:rPr>
        <w:t xml:space="preserve"> </w:t>
      </w:r>
    </w:p>
    <w:p>
      <w:pPr>
        <w:pStyle w:val="111"/>
        <w:numPr>
          <w:ilvl w:val="0"/>
          <w:numId w:val="6"/>
        </w:numPr>
        <w:overflowPunct w:val="0"/>
        <w:autoSpaceDE w:val="0"/>
        <w:autoSpaceDN w:val="0"/>
        <w:adjustRightInd w:val="0"/>
        <w:spacing w:before="120" w:beforeLines="50" w:after="120" w:line="300" w:lineRule="auto"/>
        <w:ind w:firstLineChars="0"/>
        <w:jc w:val="both"/>
        <w:textAlignment w:val="baseline"/>
        <w:rPr>
          <w:szCs w:val="20"/>
          <w:lang w:val="en-GB"/>
        </w:rPr>
      </w:pPr>
      <w:r>
        <w:rPr>
          <w:rFonts w:eastAsia="微软雅黑"/>
          <w:szCs w:val="20"/>
        </w:rPr>
        <w:t>For instance, once the beam/panel-specific P-MPR is beyond the threshold</w:t>
      </w:r>
      <w:r>
        <w:rPr>
          <w:szCs w:val="20"/>
          <w:lang w:val="en-GB"/>
        </w:rPr>
        <w:t>, the virtual PHR is triggered to be reported</w:t>
      </w:r>
      <w:r>
        <w:rPr>
          <w:rFonts w:hint="eastAsia"/>
          <w:szCs w:val="20"/>
          <w:lang w:val="en-GB"/>
        </w:rPr>
        <w:t>.</w:t>
      </w:r>
      <w:r>
        <w:rPr>
          <w:szCs w:val="20"/>
          <w:lang w:val="en-GB"/>
        </w:rPr>
        <w:t xml:space="preserve"> The UE shall report SSBRI(s)/CRI(s) along with the virtual PHR with the objective of maximizing PHR value, i.e., minimizing the value of P-MPR and PL.</w:t>
      </w:r>
    </w:p>
    <w:p>
      <w:pPr>
        <w:overflowPunct w:val="0"/>
        <w:autoSpaceDE w:val="0"/>
        <w:autoSpaceDN w:val="0"/>
        <w:adjustRightInd w:val="0"/>
        <w:spacing w:before="120" w:beforeLines="50" w:after="120" w:line="300" w:lineRule="auto"/>
        <w:jc w:val="both"/>
        <w:textAlignment w:val="baseline"/>
        <w:rPr>
          <w:rFonts w:eastAsia="微软雅黑"/>
          <w:szCs w:val="20"/>
          <w:lang w:val="en-GB"/>
        </w:rPr>
      </w:pPr>
      <w:r>
        <w:rPr>
          <w:rFonts w:eastAsia="微软雅黑"/>
          <w:szCs w:val="20"/>
          <w:lang w:val="en-GB"/>
        </w:rPr>
        <w:t>In order to</w:t>
      </w:r>
      <w:r>
        <w:rPr>
          <w:rFonts w:eastAsia="微软雅黑"/>
          <w:szCs w:val="20"/>
        </w:rPr>
        <w:t xml:space="preserve"> minimizing spec impacts</w:t>
      </w:r>
      <w:r>
        <w:rPr>
          <w:rFonts w:eastAsia="微软雅黑"/>
          <w:szCs w:val="20"/>
          <w:lang w:val="en-GB"/>
        </w:rPr>
        <w:t>, its virtual PHR(s) can be reported together with its real PHR</w:t>
      </w:r>
      <w:r>
        <w:rPr>
          <w:rFonts w:eastAsia="微软雅黑"/>
          <w:szCs w:val="20"/>
        </w:rPr>
        <w:t xml:space="preserve"> reusing current MAC-CE with enhancements of adding more specific fields related to virtual PHR(s)</w:t>
      </w:r>
      <w:r>
        <w:rPr>
          <w:rFonts w:eastAsia="微软雅黑"/>
          <w:szCs w:val="20"/>
          <w:lang w:val="en-GB"/>
        </w:rPr>
        <w:t>.</w:t>
      </w:r>
    </w:p>
    <w:p>
      <w:pPr>
        <w:snapToGrid w:val="0"/>
        <w:spacing w:before="60" w:beforeLines="25" w:after="60" w:afterLines="25" w:line="240" w:lineRule="auto"/>
        <w:jc w:val="both"/>
        <w:rPr>
          <w:rFonts w:eastAsia="宋体"/>
          <w:i/>
          <w:szCs w:val="20"/>
        </w:rPr>
      </w:pPr>
      <w:r>
        <w:rPr>
          <w:rFonts w:eastAsia="微软雅黑"/>
          <w:b/>
          <w:i/>
          <w:szCs w:val="20"/>
        </w:rPr>
        <w:t xml:space="preserve">Proposal </w:t>
      </w:r>
      <w:r>
        <w:rPr>
          <w:rFonts w:hint="eastAsia" w:eastAsia="微软雅黑"/>
          <w:b/>
          <w:i/>
          <w:szCs w:val="20"/>
        </w:rPr>
        <w:t>20</w:t>
      </w:r>
      <w:r>
        <w:rPr>
          <w:rFonts w:eastAsia="微软雅黑"/>
          <w:b/>
          <w:i/>
          <w:szCs w:val="20"/>
        </w:rPr>
        <w:t>:</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r>
        <w:rPr>
          <w:rFonts w:hint="eastAsia" w:eastAsia="宋体" w:cs="Times"/>
          <w:i/>
        </w:rPr>
        <w:t xml:space="preserve"> (i.e. RRC configured SSBRI(s)/CRI(s) set as candidate pool in Opt 1A)</w:t>
      </w:r>
    </w:p>
    <w:p>
      <w:pPr>
        <w:pStyle w:val="109"/>
        <w:numPr>
          <w:ilvl w:val="0"/>
          <w:numId w:val="6"/>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widowControl w:val="0"/>
        <w:snapToGrid w:val="0"/>
        <w:spacing w:before="60" w:beforeLines="25" w:after="120" w:afterLines="50" w:line="300" w:lineRule="auto"/>
        <w:jc w:val="both"/>
        <w:rPr>
          <w:rFonts w:eastAsia="微软雅黑"/>
          <w:szCs w:val="20"/>
        </w:rPr>
      </w:pPr>
      <w:r>
        <w:rPr>
          <w:rFonts w:hint="eastAsia" w:eastAsia="微软雅黑"/>
          <w:szCs w:val="20"/>
        </w:rPr>
        <w:t xml:space="preserve">In addition, common beam updated cross </w:t>
      </w:r>
      <w:r>
        <w:rPr>
          <w:rFonts w:eastAsia="微软雅黑"/>
          <w:szCs w:val="20"/>
        </w:rPr>
        <w:t>multiple CCs</w:t>
      </w:r>
      <w:r>
        <w:rPr>
          <w:rFonts w:hint="eastAsia" w:eastAsia="微软雅黑"/>
          <w:szCs w:val="20"/>
        </w:rPr>
        <w:t xml:space="preserve"> is under discussion as in subsection 2.1.3. MPE which is tightly related to beam direction should also be considered to be same or similar among different CCs for a given beam direction. For the sake of overhead reduction, a set of beam specific MPE (P-MPR) values </w:t>
      </w:r>
      <w:r>
        <w:rPr>
          <w:rFonts w:eastAsia="微软雅黑"/>
          <w:szCs w:val="20"/>
        </w:rPr>
        <w:t>may</w:t>
      </w:r>
      <w:r>
        <w:rPr>
          <w:rFonts w:hint="eastAsia" w:eastAsia="微软雅黑"/>
          <w:szCs w:val="20"/>
        </w:rPr>
        <w:t xml:space="preserve"> be shared among a group of CCs.</w:t>
      </w:r>
      <w:r>
        <w:rPr>
          <w:rFonts w:eastAsia="微软雅黑"/>
          <w:szCs w:val="20"/>
        </w:rPr>
        <w:t xml:space="preserve"> </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Advanced beam training/tracking with latency reduction </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n this section, we elaborate the advanced beam training/tracking with latency reduction.</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Beam management with reduced DL signaling to reduce latency (Group 1)</w:t>
      </w:r>
    </w:p>
    <w:p>
      <w:pPr>
        <w:snapToGrid w:val="0"/>
        <w:spacing w:before="120" w:after="120" w:afterLines="50"/>
        <w:jc w:val="both"/>
        <w:rPr>
          <w:szCs w:val="20"/>
        </w:rPr>
      </w:pPr>
      <w:r>
        <w:rPr>
          <w:szCs w:val="20"/>
        </w:rPr>
        <w:t>In RAN1#104b-e, the following agreement was reached for group 1 to reduce DL signaling to reduce latency.</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szCs w:val="20"/>
              </w:rPr>
            </w:pPr>
            <w:r>
              <w:rPr>
                <w:szCs w:val="20"/>
              </w:rPr>
              <w:t>On Rel.17 enhancements to facilitate advanced beam refinement/tracking, perform study (for the purpose of down-selection and/or combining) and, if needed, specify the following candidate schemes from Group 1:</w:t>
            </w:r>
          </w:p>
          <w:p>
            <w:pPr>
              <w:pStyle w:val="111"/>
              <w:numPr>
                <w:ilvl w:val="0"/>
                <w:numId w:val="25"/>
              </w:numPr>
              <w:snapToGrid w:val="0"/>
              <w:spacing w:after="0" w:line="240" w:lineRule="auto"/>
              <w:ind w:firstLineChars="0"/>
              <w:jc w:val="both"/>
              <w:rPr>
                <w:szCs w:val="20"/>
              </w:rPr>
            </w:pPr>
            <w:r>
              <w:rPr>
                <w:szCs w:val="20"/>
              </w:rPr>
              <w:t>Opt 1-1A: Beam measurement/reporting/refinement/selection triggered by beam indication (without CSI request)</w:t>
            </w:r>
          </w:p>
          <w:p>
            <w:pPr>
              <w:pStyle w:val="111"/>
              <w:numPr>
                <w:ilvl w:val="0"/>
                <w:numId w:val="25"/>
              </w:numPr>
              <w:snapToGrid w:val="0"/>
              <w:spacing w:after="0" w:line="240" w:lineRule="auto"/>
              <w:ind w:firstLineChars="0"/>
              <w:jc w:val="both"/>
              <w:rPr>
                <w:szCs w:val="20"/>
              </w:rPr>
            </w:pPr>
            <w:r>
              <w:rPr>
                <w:szCs w:val="20"/>
              </w:rPr>
              <w:t>Opt 1-1B: UE-initiated beam selection/activation based on beam measurement (without beam indication or activation from NW)</w:t>
            </w:r>
          </w:p>
          <w:p>
            <w:pPr>
              <w:pStyle w:val="111"/>
              <w:numPr>
                <w:ilvl w:val="0"/>
                <w:numId w:val="25"/>
              </w:numPr>
              <w:snapToGrid w:val="0"/>
              <w:spacing w:after="0" w:line="240" w:lineRule="auto"/>
              <w:ind w:firstLineChars="0"/>
              <w:jc w:val="both"/>
              <w:rPr>
                <w:szCs w:val="20"/>
              </w:rPr>
            </w:pPr>
            <w:r>
              <w:rPr>
                <w:szCs w:val="20"/>
              </w:rPr>
              <w:t xml:space="preserve">Opt 1-2: </w:t>
            </w:r>
            <w:r>
              <w:rPr>
                <w:szCs w:val="18"/>
              </w:rPr>
              <w:t>Semi-static NW-configured beam selection (without beam indication and measurement/reporting)</w:t>
            </w:r>
          </w:p>
          <w:p>
            <w:pPr>
              <w:pStyle w:val="111"/>
              <w:numPr>
                <w:ilvl w:val="0"/>
                <w:numId w:val="25"/>
              </w:numPr>
              <w:snapToGrid w:val="0"/>
              <w:spacing w:after="0" w:line="240" w:lineRule="auto"/>
              <w:ind w:firstLineChars="0"/>
              <w:jc w:val="both"/>
              <w:rPr>
                <w:szCs w:val="20"/>
              </w:rPr>
            </w:pPr>
            <w:r>
              <w:rPr>
                <w:szCs w:val="20"/>
              </w:rPr>
              <w:t xml:space="preserve">Opt 1-3: SSB grouping to reduce beam training </w:t>
            </w:r>
          </w:p>
          <w:p>
            <w:pPr>
              <w:pStyle w:val="111"/>
              <w:numPr>
                <w:ilvl w:val="0"/>
                <w:numId w:val="25"/>
              </w:numPr>
              <w:snapToGrid w:val="0"/>
              <w:spacing w:after="0" w:line="240" w:lineRule="auto"/>
              <w:ind w:firstLineChars="0"/>
              <w:jc w:val="both"/>
              <w:rPr>
                <w:szCs w:val="20"/>
              </w:rPr>
            </w:pPr>
            <w:r>
              <w:rPr>
                <w:szCs w:val="20"/>
              </w:rPr>
              <w:t xml:space="preserve">Opt 1-4: </w:t>
            </w:r>
            <w:r>
              <w:rPr>
                <w:szCs w:val="18"/>
              </w:rPr>
              <w:t>Aperiodic beam measurement/reporting based on multiple resource sets for reducing beam measurement latency</w:t>
            </w:r>
          </w:p>
          <w:p>
            <w:pPr>
              <w:pStyle w:val="111"/>
              <w:numPr>
                <w:ilvl w:val="0"/>
                <w:numId w:val="25"/>
              </w:numPr>
              <w:snapToGrid w:val="0"/>
              <w:spacing w:after="0" w:line="240" w:lineRule="auto"/>
              <w:ind w:firstLineChars="0"/>
              <w:jc w:val="both"/>
            </w:pPr>
            <w:r>
              <w:rPr>
                <w:szCs w:val="18"/>
              </w:rPr>
              <w:t>Note: Aim for at most one solution for Group 1 in Rel-17 to address issue 6</w:t>
            </w:r>
          </w:p>
        </w:tc>
      </w:tr>
    </w:tbl>
    <w:p>
      <w:pPr>
        <w:snapToGrid w:val="0"/>
        <w:spacing w:before="120" w:after="120" w:afterLines="50"/>
        <w:jc w:val="both"/>
        <w:rPr>
          <w:szCs w:val="20"/>
        </w:rPr>
      </w:pPr>
      <w:r>
        <w:rPr>
          <w:szCs w:val="20"/>
        </w:rPr>
        <w:t>In the current spec, aperiodic beam measurement/reporting can only be based on one resource set which is limited to one slot only. This imposes the following limitations:</w:t>
      </w:r>
    </w:p>
    <w:p>
      <w:pPr>
        <w:numPr>
          <w:ilvl w:val="0"/>
          <w:numId w:val="11"/>
        </w:numPr>
        <w:snapToGrid w:val="0"/>
        <w:spacing w:before="120" w:after="120" w:afterLines="50" w:line="240" w:lineRule="auto"/>
        <w:jc w:val="both"/>
        <w:rPr>
          <w:b/>
          <w:szCs w:val="20"/>
        </w:rPr>
      </w:pPr>
      <w:r>
        <w:rPr>
          <w:szCs w:val="20"/>
        </w:rPr>
        <w:t>P1 operation is not supported in aperiodic beam reporting</w:t>
      </w:r>
    </w:p>
    <w:p>
      <w:pPr>
        <w:numPr>
          <w:ilvl w:val="0"/>
          <w:numId w:val="11"/>
        </w:numPr>
        <w:snapToGrid w:val="0"/>
        <w:spacing w:before="120" w:after="120" w:afterLines="50" w:line="240" w:lineRule="auto"/>
        <w:jc w:val="both"/>
        <w:rPr>
          <w:b/>
          <w:szCs w:val="20"/>
        </w:rPr>
      </w:pPr>
      <w:r>
        <w:rPr>
          <w:szCs w:val="20"/>
        </w:rPr>
        <w:t>Number of beams is limited by the number of downlink symbols in a slot for P2 and P3 operation</w:t>
      </w:r>
    </w:p>
    <w:p>
      <w:pPr>
        <w:snapToGrid w:val="0"/>
        <w:spacing w:before="120" w:after="120" w:afterLines="50"/>
        <w:jc w:val="both"/>
        <w:rPr>
          <w:szCs w:val="20"/>
        </w:rPr>
      </w:pPr>
      <w:r>
        <w:rPr>
          <w:szCs w:val="20"/>
        </w:rPr>
        <w:t>Only periodic or semi-persistent CSI-RS can achieve P1 and P2/P3 with large number of beams. Relying only on periodic/semi-persistent signals causes large latency and overhead and reduces the flexibility and efficiency of the system. Besides, the triggering request and the number of candidate RS(s) should be considered to be reported by UE for the assistance of P2/P3 related measurement/report configuration. Therefore, we have the following proposal:</w:t>
      </w:r>
    </w:p>
    <w:p>
      <w:pPr>
        <w:snapToGrid w:val="0"/>
        <w:spacing w:before="120" w:after="120" w:afterLines="50"/>
        <w:jc w:val="both"/>
        <w:rPr>
          <w:rFonts w:eastAsia="微软雅黑"/>
          <w:bCs/>
          <w:i/>
          <w:szCs w:val="20"/>
        </w:rPr>
      </w:pPr>
      <w:r>
        <w:rPr>
          <w:b/>
          <w:i/>
          <w:szCs w:val="20"/>
        </w:rPr>
        <w:t>Proposal 2</w:t>
      </w:r>
      <w:r>
        <w:rPr>
          <w:rFonts w:hint="eastAsia" w:eastAsia="宋体"/>
          <w:b/>
          <w:i/>
          <w:szCs w:val="20"/>
        </w:rPr>
        <w:t>1</w:t>
      </w:r>
      <w:r>
        <w:rPr>
          <w:b/>
          <w:i/>
          <w:szCs w:val="20"/>
        </w:rPr>
        <w:t xml:space="preserve">: </w:t>
      </w:r>
      <w:r>
        <w:rPr>
          <w:rFonts w:eastAsia="微软雅黑"/>
          <w:bCs/>
          <w:i/>
          <w:szCs w:val="20"/>
        </w:rPr>
        <w:t>Regarding Group 1, ‘</w:t>
      </w:r>
      <w:r>
        <w:rPr>
          <w:rFonts w:hint="eastAsia" w:eastAsia="微软雅黑"/>
          <w:bCs/>
          <w:i/>
          <w:szCs w:val="20"/>
        </w:rPr>
        <w:t xml:space="preserve">Opt 1-4: </w:t>
      </w:r>
      <w:r>
        <w:rPr>
          <w:rFonts w:eastAsia="微软雅黑"/>
          <w:bCs/>
          <w:i/>
          <w:szCs w:val="20"/>
        </w:rPr>
        <w:t xml:space="preserve">Aperiodic beam measurement/reporting based on multiple resource sets </w:t>
      </w:r>
      <w:r>
        <w:rPr>
          <w:rFonts w:hint="eastAsia" w:eastAsia="微软雅黑"/>
          <w:bCs/>
          <w:i/>
          <w:szCs w:val="20"/>
        </w:rPr>
        <w:t>for reducing beam measurement latency</w:t>
      </w:r>
      <w:r>
        <w:rPr>
          <w:rFonts w:eastAsia="微软雅黑"/>
          <w:bCs/>
          <w:i/>
          <w:szCs w:val="20"/>
        </w:rPr>
        <w:t>’ should be supported</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hint="eastAsia" w:eastAsia="微软雅黑"/>
          <w:bCs/>
          <w:i/>
          <w:szCs w:val="20"/>
        </w:rPr>
        <w:t>Enabling joint DL TX and RX beam refinement/tracking (P2+P3).</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eastAsia="微软雅黑"/>
          <w:bCs/>
          <w:i/>
          <w:szCs w:val="20"/>
        </w:rPr>
        <w:t>Additional UE report to aid P2/P3 related measurement/report configuration</w:t>
      </w:r>
      <w:r>
        <w:rPr>
          <w:rFonts w:hint="eastAsia" w:eastAsia="微软雅黑"/>
          <w:bCs/>
          <w:i/>
          <w:szCs w:val="20"/>
        </w:rPr>
        <w:t>, such as</w:t>
      </w:r>
      <w:r>
        <w:rPr>
          <w:rFonts w:eastAsia="微软雅黑"/>
          <w:bCs/>
          <w:i/>
          <w:szCs w:val="20"/>
        </w:rPr>
        <w:t xml:space="preserve"> triggering request, the number of candidate RS(s)</w:t>
      </w:r>
      <w:r>
        <w:rPr>
          <w:rFonts w:hint="eastAsia" w:eastAsia="微软雅黑"/>
          <w:bCs/>
          <w:i/>
          <w:szCs w:val="20"/>
        </w:rPr>
        <w:t xml:space="preserve"> or periodicity</w:t>
      </w:r>
      <w:r>
        <w:rPr>
          <w:rFonts w:eastAsia="微软雅黑"/>
          <w:bCs/>
          <w:i/>
          <w:szCs w:val="20"/>
        </w:rPr>
        <w:t>) should be considered.</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Reducing activation delay of TCI states and PL-RS (Group 2)</w:t>
      </w:r>
    </w:p>
    <w:p>
      <w:pPr>
        <w:snapToGrid w:val="0"/>
        <w:spacing w:before="120" w:after="120" w:afterLines="50"/>
        <w:jc w:val="both"/>
        <w:rPr>
          <w:szCs w:val="20"/>
        </w:rPr>
      </w:pPr>
      <w:r>
        <w:rPr>
          <w:szCs w:val="20"/>
        </w:rPr>
        <w:t>In RAN1#104b-e, the following agreement was reached for group 2 to reduce activation delay of TCI states and PL-RS, and, in this sub-section, we will further elaborate our views on this group.</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jc w:val="both"/>
              <w:rPr>
                <w:rFonts w:cs="Times"/>
                <w:b/>
                <w:bCs/>
                <w:szCs w:val="20"/>
                <w:u w:val="single"/>
              </w:rPr>
            </w:pPr>
            <w:r>
              <w:rPr>
                <w:rFonts w:cs="Times"/>
                <w:b/>
                <w:bCs/>
                <w:szCs w:val="20"/>
                <w:u w:val="single"/>
              </w:rPr>
              <w:t>Agreement</w:t>
            </w:r>
          </w:p>
          <w:p>
            <w:pPr>
              <w:snapToGrid w:val="0"/>
              <w:spacing w:after="0" w:line="240" w:lineRule="auto"/>
              <w:jc w:val="both"/>
              <w:rPr>
                <w:szCs w:val="20"/>
              </w:rPr>
            </w:pPr>
            <w:r>
              <w:rPr>
                <w:szCs w:val="20"/>
              </w:rPr>
              <w:t>On Rel.17 enhancements to facilitate advanced beam refinement/tracking, perform study (for the purpose of down-selection and/or combining) and, if needed, specify the following candidate schemes from Group 2:</w:t>
            </w:r>
          </w:p>
          <w:p>
            <w:pPr>
              <w:pStyle w:val="111"/>
              <w:numPr>
                <w:ilvl w:val="0"/>
                <w:numId w:val="26"/>
              </w:numPr>
              <w:snapToGrid w:val="0"/>
              <w:spacing w:after="0" w:line="240" w:lineRule="auto"/>
              <w:ind w:firstLineChars="0"/>
              <w:jc w:val="both"/>
              <w:rPr>
                <w:szCs w:val="20"/>
              </w:rPr>
            </w:pPr>
            <w:r>
              <w:rPr>
                <w:szCs w:val="20"/>
              </w:rPr>
              <w:t>Opt 2-1A: Latency reduction for MAC CE based TCI state activation, or frequency/time/beam tracking</w:t>
            </w:r>
          </w:p>
          <w:p>
            <w:pPr>
              <w:pStyle w:val="111"/>
              <w:numPr>
                <w:ilvl w:val="0"/>
                <w:numId w:val="26"/>
              </w:numPr>
              <w:snapToGrid w:val="0"/>
              <w:spacing w:after="0" w:line="240" w:lineRule="auto"/>
              <w:ind w:firstLineChars="0"/>
              <w:jc w:val="both"/>
              <w:rPr>
                <w:szCs w:val="20"/>
              </w:rPr>
            </w:pPr>
            <w:r>
              <w:rPr>
                <w:szCs w:val="20"/>
              </w:rPr>
              <w:t>Opt 2-1B: Latency reduction for MAC CE based PL-RS activation</w:t>
            </w:r>
          </w:p>
          <w:p>
            <w:pPr>
              <w:pStyle w:val="111"/>
              <w:numPr>
                <w:ilvl w:val="0"/>
                <w:numId w:val="26"/>
              </w:numPr>
              <w:snapToGrid w:val="0"/>
              <w:spacing w:after="0" w:line="240" w:lineRule="auto"/>
              <w:ind w:firstLineChars="0"/>
              <w:jc w:val="both"/>
              <w:rPr>
                <w:szCs w:val="20"/>
              </w:rPr>
            </w:pPr>
            <w:r>
              <w:rPr>
                <w:szCs w:val="20"/>
              </w:rPr>
              <w:t>Opt 2-1C: Latency reduction for MAC CE based PUCCH resource/resource group activation</w:t>
            </w:r>
          </w:p>
          <w:p>
            <w:pPr>
              <w:pStyle w:val="111"/>
              <w:numPr>
                <w:ilvl w:val="0"/>
                <w:numId w:val="26"/>
              </w:numPr>
              <w:snapToGrid w:val="0"/>
              <w:spacing w:after="0" w:line="240" w:lineRule="auto"/>
              <w:ind w:firstLineChars="0"/>
              <w:jc w:val="both"/>
              <w:rPr>
                <w:szCs w:val="20"/>
              </w:rPr>
            </w:pPr>
            <w:r>
              <w:rPr>
                <w:szCs w:val="20"/>
              </w:rPr>
              <w:t>Opt 2-2: Direct SCell TCI state activation</w:t>
            </w:r>
          </w:p>
          <w:p>
            <w:pPr>
              <w:pStyle w:val="111"/>
              <w:numPr>
                <w:ilvl w:val="0"/>
                <w:numId w:val="26"/>
              </w:numPr>
              <w:snapToGrid w:val="0"/>
              <w:spacing w:after="0" w:line="240" w:lineRule="auto"/>
              <w:ind w:firstLineChars="0"/>
              <w:jc w:val="both"/>
              <w:rPr>
                <w:szCs w:val="20"/>
              </w:rPr>
            </w:pPr>
            <w:r>
              <w:rPr>
                <w:szCs w:val="20"/>
              </w:rPr>
              <w:t xml:space="preserve">Opt 2-3: </w:t>
            </w:r>
            <w:r>
              <w:rPr>
                <w:szCs w:val="18"/>
              </w:rPr>
              <w:t>Replacing RRC-based with MAC CE (or DCI) based for DL QCL or UL information update</w:t>
            </w:r>
          </w:p>
          <w:p>
            <w:pPr>
              <w:pStyle w:val="111"/>
              <w:numPr>
                <w:ilvl w:val="0"/>
                <w:numId w:val="26"/>
              </w:numPr>
              <w:snapToGrid w:val="0"/>
              <w:spacing w:after="0" w:line="240" w:lineRule="auto"/>
              <w:ind w:firstLineChars="0"/>
              <w:jc w:val="both"/>
              <w:rPr>
                <w:szCs w:val="20"/>
              </w:rPr>
            </w:pPr>
            <w:r>
              <w:rPr>
                <w:szCs w:val="20"/>
              </w:rPr>
              <w:t>Opt 2-4: One-shot timing update for TCI state update</w:t>
            </w:r>
          </w:p>
          <w:p>
            <w:pPr>
              <w:pStyle w:val="111"/>
              <w:numPr>
                <w:ilvl w:val="0"/>
                <w:numId w:val="25"/>
              </w:numPr>
              <w:snapToGrid w:val="0"/>
              <w:spacing w:after="0" w:line="240" w:lineRule="auto"/>
              <w:ind w:firstLineChars="0"/>
              <w:jc w:val="both"/>
              <w:rPr>
                <w:szCs w:val="20"/>
              </w:rPr>
            </w:pPr>
            <w:r>
              <w:rPr>
                <w:szCs w:val="18"/>
              </w:rPr>
              <w:t>Note: Aim for at most one solution for Group 2 in Rel-17 to address issue 6</w:t>
            </w:r>
          </w:p>
          <w:p>
            <w:pPr>
              <w:pStyle w:val="111"/>
              <w:numPr>
                <w:ilvl w:val="0"/>
                <w:numId w:val="25"/>
              </w:numPr>
              <w:snapToGrid w:val="0"/>
              <w:spacing w:after="0" w:line="240" w:lineRule="auto"/>
              <w:ind w:firstLineChars="0"/>
              <w:jc w:val="both"/>
            </w:pPr>
            <w:r>
              <w:rPr>
                <w:szCs w:val="18"/>
              </w:rPr>
              <w:t xml:space="preserve">Note: At least for Opt 2-1A/B, 2-2, and 2-4, RAN2 and RAN4 will at least have to be involved (some may be exclusively RAN2 and/or RAN4 work) </w:t>
            </w:r>
          </w:p>
        </w:tc>
      </w:tr>
    </w:tbl>
    <w:p>
      <w:pPr>
        <w:snapToGrid w:val="0"/>
        <w:spacing w:before="120" w:after="120" w:afterLines="50" w:line="300" w:lineRule="auto"/>
        <w:jc w:val="both"/>
        <w:rPr>
          <w:rFonts w:eastAsia="微软雅黑"/>
          <w:szCs w:val="20"/>
        </w:rPr>
      </w:pPr>
      <w:r>
        <w:rPr>
          <w:rFonts w:eastAsia="微软雅黑"/>
          <w:szCs w:val="20"/>
        </w:rPr>
        <w:t xml:space="preserve">In Rel-15, there is </w:t>
      </w:r>
      <w:r>
        <w:rPr>
          <w:rFonts w:hint="eastAsia" w:eastAsia="微软雅黑"/>
          <w:szCs w:val="20"/>
        </w:rPr>
        <w:t xml:space="preserve">an </w:t>
      </w:r>
      <w:r>
        <w:rPr>
          <w:rFonts w:eastAsia="微软雅黑"/>
          <w:szCs w:val="20"/>
        </w:rPr>
        <w:t>additional latency for known beam switching in RAN4 over RAN1 solution. Note that the latency reduction of unknown beam switching is handled in L1/L2-centric inter-cell mobility in Section 2.3</w:t>
      </w:r>
    </w:p>
    <w:p>
      <w:pPr>
        <w:snapToGrid w:val="0"/>
        <w:spacing w:before="120" w:after="120" w:afterLines="50" w:line="300" w:lineRule="auto"/>
        <w:jc w:val="both"/>
        <w:rPr>
          <w:rFonts w:eastAsia="宋体"/>
        </w:rPr>
      </w:pPr>
      <w:r>
        <w:rPr>
          <w:rFonts w:eastAsia="微软雅黑"/>
          <w:szCs w:val="20"/>
        </w:rPr>
        <w:t>Regarding the activation delay of TCI states,</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 xml:space="preserve">In NR the beam of PDSCH/PDCCH can be updated by a MAC-CE, the beam in the  MAC-CE can be applied for PDSCH/PDCCH starting from the first slot after </w:t>
      </w:r>
      <w:r>
        <w:rPr>
          <w:color w:val="000000" w:themeColor="text1"/>
          <w14:textFill>
            <w14:solidFill>
              <w14:schemeClr w14:val="tx1"/>
            </w14:solidFill>
          </w14:textFill>
        </w:rPr>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ctrlPr>
              <w:rPr>
                <w:rFonts w:ascii="Cambria Math" w:hAnsi="Cambria Math"/>
              </w:rPr>
            </m:ctrlPr>
          </m:e>
          <m:sub>
            <m:r>
              <w:rPr>
                <w:rFonts w:ascii="Cambria Math" w:hAnsi="Cambria Math"/>
              </w:rPr>
              <m:t>slot</m:t>
            </m:r>
            <m:ctrlPr>
              <w:rPr>
                <w:rFonts w:ascii="Cambria Math" w:hAnsi="Cambria Math"/>
              </w:rPr>
            </m:ctrlPr>
          </m:sub>
          <m:sup>
            <m:r>
              <w:rPr>
                <w:rFonts w:ascii="Cambria Math" w:hAnsi="Cambria Math"/>
              </w:rPr>
              <m:t>subframe,µ</m:t>
            </m:r>
            <m:ctrlPr>
              <w:rPr>
                <w:rFonts w:ascii="Cambria Math" w:hAnsi="Cambria Math"/>
              </w:rPr>
            </m:ctrlPr>
          </m:sup>
        </m:sSubSup>
      </m:oMath>
      <w:r>
        <w:rPr>
          <w:rFonts w:hint="eastAsia" w:ascii="Cambria Math" w:hAnsi="Cambria Math" w:eastAsia="宋体"/>
        </w:rPr>
        <w:t xml:space="preserve"> </w:t>
      </w:r>
      <w:r>
        <w:rPr>
          <w:rFonts w:hint="eastAsia" w:eastAsia="宋体"/>
        </w:rPr>
        <w:t>according to TS 38.214</w:t>
      </w:r>
      <w:r>
        <w:rPr>
          <w:rFonts w:hint="eastAsia" w:ascii="Cambria Math" w:hAnsi="Cambria Math" w:eastAsia="宋体"/>
        </w:rPr>
        <w:t xml:space="preserve">, wherein </w:t>
      </w:r>
      <w:r>
        <w:rPr>
          <w:rFonts w:hint="eastAsia" w:eastAsia="宋体"/>
        </w:rPr>
        <w:t xml:space="preserve">the UE transmits HARQ-ACK for the PDSCH in slot n. </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 xml:space="preserve">But the delay of applying the new TCI state in the MAC-CE </w:t>
      </w:r>
      <w:r>
        <w:rPr>
          <w:rFonts w:eastAsia="宋体"/>
        </w:rPr>
        <w:t>is much</w:t>
      </w:r>
      <w:r>
        <w:rPr>
          <w:rFonts w:hint="eastAsia" w:eastAsia="宋体"/>
        </w:rPr>
        <w:t xml:space="preserve"> longer in 38.133 than in 38.214 as shown in Fig</w:t>
      </w:r>
      <w:r>
        <w:rPr>
          <w:rFonts w:eastAsia="宋体"/>
        </w:rPr>
        <w:t>ure</w:t>
      </w:r>
      <w:r>
        <w:rPr>
          <w:rFonts w:hint="eastAsia" w:eastAsia="宋体"/>
        </w:rPr>
        <w:t xml:space="preserve"> </w:t>
      </w:r>
      <w:r>
        <w:rPr>
          <w:rFonts w:eastAsia="宋体"/>
        </w:rPr>
        <w:t>5</w:t>
      </w:r>
      <w:r>
        <w:rPr>
          <w:rFonts w:hint="eastAsia" w:eastAsia="宋体"/>
        </w:rPr>
        <w:t xml:space="preserve">. </w:t>
      </w:r>
    </w:p>
    <w:p>
      <w:pPr>
        <w:pStyle w:val="109"/>
        <w:numPr>
          <w:ilvl w:val="1"/>
          <w:numId w:val="6"/>
        </w:numPr>
        <w:snapToGrid w:val="0"/>
        <w:spacing w:before="120" w:after="120" w:afterLines="50" w:line="300" w:lineRule="auto"/>
        <w:ind w:firstLineChars="0"/>
        <w:jc w:val="both"/>
        <w:rPr>
          <w:rFonts w:eastAsia="宋体"/>
        </w:rPr>
      </w:pPr>
      <w:r>
        <w:rPr>
          <w:rFonts w:eastAsia="宋体"/>
        </w:rPr>
        <w:t>The known TCI state switch (i.e., TCI state switch command is received within 1280 ms upon the last transmission of the RS resource for beam reporting or measurement) occurs no later than in slot n+ T</w:t>
      </w:r>
      <w:r>
        <w:rPr>
          <w:rFonts w:eastAsia="宋体"/>
          <w:vertAlign w:val="subscript"/>
        </w:rPr>
        <w:t>HARQ</w:t>
      </w:r>
      <w:r>
        <w:rPr>
          <w:rFonts w:eastAsia="宋体"/>
        </w:rPr>
        <w:t xml:space="preserve"> +(3 ms +TO</w:t>
      </w:r>
      <w:r>
        <w:rPr>
          <w:rFonts w:eastAsia="宋体"/>
          <w:vertAlign w:val="subscript"/>
        </w:rPr>
        <w:t>k</w:t>
      </w:r>
      <w:r>
        <w:rPr>
          <w:rFonts w:eastAsia="宋体"/>
        </w:rPr>
        <w:t>*(T</w:t>
      </w:r>
      <w:r>
        <w:rPr>
          <w:rFonts w:eastAsia="宋体"/>
          <w:vertAlign w:val="subscript"/>
        </w:rPr>
        <w:t>first-SSB</w:t>
      </w:r>
      <w:r>
        <w:rPr>
          <w:rFonts w:eastAsia="宋体"/>
        </w:rPr>
        <w:t xml:space="preserve"> + T</w:t>
      </w:r>
      <w:r>
        <w:rPr>
          <w:rFonts w:eastAsia="宋体"/>
          <w:vertAlign w:val="subscript"/>
        </w:rPr>
        <w:t>SSB-proc</w:t>
      </w:r>
      <w:r>
        <w:rPr>
          <w:rFonts w:eastAsia="宋体"/>
        </w:rPr>
        <w:t>)) / NR slot length</w:t>
      </w:r>
      <w:r>
        <w:rPr>
          <w:rFonts w:hint="eastAsia" w:eastAsia="宋体"/>
        </w:rPr>
        <w:t xml:space="preserve"> and the activation delay of the known TCI state doesn</w:t>
      </w:r>
      <w:r>
        <w:rPr>
          <w:rFonts w:eastAsia="宋体"/>
        </w:rPr>
        <w:t>’</w:t>
      </w:r>
      <w:r>
        <w:rPr>
          <w:rFonts w:hint="eastAsia" w:eastAsia="宋体"/>
        </w:rPr>
        <w:t xml:space="preserve">t include a duration for </w:t>
      </w:r>
      <w:r>
        <w:rPr>
          <w:rFonts w:eastAsia="宋体"/>
        </w:rPr>
        <w:t>T</w:t>
      </w:r>
      <w:r>
        <w:rPr>
          <w:rFonts w:eastAsia="宋体"/>
          <w:vertAlign w:val="subscript"/>
        </w:rPr>
        <w:t>L1-RSRP</w:t>
      </w:r>
      <w:r>
        <w:rPr>
          <w:rFonts w:hint="eastAsia" w:eastAsia="宋体"/>
          <w:vertAlign w:val="subscript"/>
        </w:rPr>
        <w:t xml:space="preserve"> </w:t>
      </w:r>
      <w:r>
        <w:rPr>
          <w:rFonts w:eastAsia="宋体"/>
        </w:rPr>
        <w:t xml:space="preserve">as shown in Figure </w:t>
      </w:r>
      <w:r>
        <w:rPr>
          <w:rFonts w:hint="eastAsia" w:eastAsia="宋体"/>
        </w:rPr>
        <w:t>5</w:t>
      </w:r>
      <w:r>
        <w:rPr>
          <w:rFonts w:eastAsia="宋体"/>
        </w:rPr>
        <w:t>, where T</w:t>
      </w:r>
      <w:r>
        <w:rPr>
          <w:rFonts w:eastAsia="宋体"/>
          <w:vertAlign w:val="subscript"/>
        </w:rPr>
        <w:t>first-SSB</w:t>
      </w:r>
      <w:r>
        <w:rPr>
          <w:rFonts w:eastAsia="宋体"/>
        </w:rPr>
        <w:t xml:space="preserve"> is time to first SSB transmission after MAC CE command is decoded by the UE, T</w:t>
      </w:r>
      <w:r>
        <w:rPr>
          <w:rFonts w:eastAsia="宋体"/>
          <w:vertAlign w:val="subscript"/>
        </w:rPr>
        <w:t>SSB-proc</w:t>
      </w:r>
      <w:r>
        <w:rPr>
          <w:rFonts w:eastAsia="宋体"/>
        </w:rPr>
        <w:t xml:space="preserve"> = 2 ms and TO</w:t>
      </w:r>
      <w:r>
        <w:rPr>
          <w:rFonts w:eastAsia="宋体"/>
          <w:vertAlign w:val="subscript"/>
        </w:rPr>
        <w:t>k</w:t>
      </w:r>
      <w:r>
        <w:rPr>
          <w:rFonts w:eastAsia="宋体"/>
        </w:rPr>
        <w:t xml:space="preserve"> = 1 if target TCI state is not in the active TCI state list for PDSCH. Technically, the UE needs to achieve </w:t>
      </w:r>
      <w:r>
        <w:rPr>
          <w:rFonts w:hint="eastAsia" w:eastAsia="宋体"/>
        </w:rPr>
        <w:t>time-frequency synchronization</w:t>
      </w:r>
      <w:r>
        <w:rPr>
          <w:rFonts w:eastAsia="宋体"/>
        </w:rPr>
        <w:t xml:space="preserve"> after beam switching.</w:t>
      </w:r>
    </w:p>
    <w:p>
      <w:pPr>
        <w:pStyle w:val="109"/>
        <w:numPr>
          <w:ilvl w:val="2"/>
          <w:numId w:val="6"/>
        </w:numPr>
        <w:snapToGrid w:val="0"/>
        <w:spacing w:before="120" w:after="120" w:afterLines="50" w:line="300" w:lineRule="auto"/>
        <w:ind w:firstLineChars="0"/>
        <w:jc w:val="both"/>
        <w:rPr>
          <w:rFonts w:eastAsia="宋体"/>
        </w:rPr>
      </w:pPr>
      <w:r>
        <w:rPr>
          <w:rFonts w:eastAsia="宋体"/>
        </w:rPr>
        <w:t>That means, in such case, it</w:t>
      </w:r>
      <w:r>
        <w:rPr>
          <w:rFonts w:hint="eastAsia" w:eastAsia="宋体"/>
        </w:rPr>
        <w:t xml:space="preserve"> additionally includes a </w:t>
      </w:r>
      <w:r>
        <w:rPr>
          <w:rFonts w:eastAsia="宋体"/>
        </w:rPr>
        <w:t>latency for waiting</w:t>
      </w:r>
      <w:r>
        <w:rPr>
          <w:rFonts w:hint="eastAsia" w:eastAsia="宋体"/>
        </w:rPr>
        <w:t xml:space="preserve"> for the first transmission of the SSB which is </w:t>
      </w:r>
      <w:r>
        <w:t xml:space="preserve">the QCL-TypeA or QCL-TypeC to </w:t>
      </w:r>
      <w:r>
        <w:rPr>
          <w:rFonts w:hint="eastAsia"/>
        </w:rPr>
        <w:t>the</w:t>
      </w:r>
      <w:r>
        <w:t xml:space="preserve"> TCI state</w:t>
      </w:r>
      <w:r>
        <w:rPr>
          <w:rFonts w:hint="eastAsia"/>
        </w:rPr>
        <w:t>.</w:t>
      </w:r>
      <w:r>
        <w:t xml:space="preserve"> The additional latency is determined according to</w:t>
      </w:r>
      <w:r>
        <w:rPr>
          <w:rFonts w:hint="eastAsia" w:eastAsia="宋体"/>
        </w:rPr>
        <w:t xml:space="preserve"> </w:t>
      </w:r>
      <w:r>
        <w:rPr>
          <w:rFonts w:eastAsia="宋体"/>
        </w:rPr>
        <w:t xml:space="preserve">the </w:t>
      </w:r>
      <w:r>
        <w:rPr>
          <w:rFonts w:hint="eastAsia" w:eastAsia="宋体"/>
        </w:rPr>
        <w:t>period</w:t>
      </w:r>
      <w:r>
        <w:rPr>
          <w:rFonts w:eastAsia="宋体"/>
        </w:rPr>
        <w:t>icity</w:t>
      </w:r>
      <w:r>
        <w:rPr>
          <w:rFonts w:hint="eastAsia" w:eastAsia="宋体"/>
        </w:rPr>
        <w:t xml:space="preserve"> of SSB which</w:t>
      </w:r>
      <w:r>
        <w:rPr>
          <w:rFonts w:hint="eastAsia"/>
        </w:rPr>
        <w:t xml:space="preserve"> belongs to </w:t>
      </w:r>
      <w:r>
        <w:rPr>
          <w:rFonts w:hint="eastAsia" w:eastAsia="宋体"/>
        </w:rPr>
        <w:t>{5,10, 20,40,80,160}ms.</w:t>
      </w:r>
    </w:p>
    <w:p>
      <w:pPr>
        <w:pStyle w:val="109"/>
        <w:snapToGrid w:val="0"/>
        <w:spacing w:before="120" w:after="120" w:afterLines="50" w:line="300" w:lineRule="auto"/>
        <w:ind w:left="360" w:firstLine="0" w:firstLineChars="0"/>
        <w:jc w:val="center"/>
        <w:rPr>
          <w:rFonts w:eastAsia="宋体"/>
        </w:rPr>
      </w:pPr>
      <w:r>
        <w:object>
          <v:shape id="_x0000_i1031" o:spt="75" type="#_x0000_t75" style="height:126.65pt;width:336.15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31" r:id="rId17">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eastAsia="宋体"/>
          <w:b/>
          <w:szCs w:val="20"/>
        </w:rPr>
        <w:t>5</w:t>
      </w:r>
      <w:r>
        <w:rPr>
          <w:rFonts w:hint="eastAsia"/>
          <w:szCs w:val="20"/>
        </w:rPr>
        <w:t xml:space="preserve"> </w:t>
      </w:r>
      <w:r>
        <w:rPr>
          <w:szCs w:val="20"/>
        </w:rPr>
        <w:t xml:space="preserve">Applicable timing for updating TCI state(s) in RAN1 and RAN4 </w:t>
      </w:r>
    </w:p>
    <w:p>
      <w:pPr>
        <w:snapToGrid w:val="0"/>
        <w:spacing w:before="120" w:after="120" w:afterLines="50" w:line="300" w:lineRule="auto"/>
        <w:jc w:val="both"/>
        <w:rPr>
          <w:rFonts w:eastAsia="宋体"/>
        </w:rPr>
      </w:pPr>
      <w:r>
        <w:rPr>
          <w:rFonts w:eastAsia="微软雅黑"/>
          <w:szCs w:val="20"/>
        </w:rPr>
        <w:t>Regarding the activation delay of PL RS,</w:t>
      </w:r>
    </w:p>
    <w:p>
      <w:pPr>
        <w:pStyle w:val="109"/>
        <w:numPr>
          <w:ilvl w:val="0"/>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宋体"/>
        </w:rPr>
      </w:pPr>
      <w:r>
        <w:rPr>
          <w:rFonts w:eastAsia="宋体"/>
        </w:rPr>
        <w:t>There is no explicit specification in RAN1 spec although we had RAN1 agreements in Rel-16, and the corresponding requirement is specified in RAN4.</w:t>
      </w:r>
    </w:p>
    <w:p>
      <w:pPr>
        <w:pStyle w:val="109"/>
        <w:numPr>
          <w:ilvl w:val="1"/>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宋体"/>
          <w:szCs w:val="20"/>
          <w:lang w:val="en-GB"/>
        </w:rPr>
      </w:pPr>
      <w:r>
        <w:t xml:space="preserve">The </w:t>
      </w:r>
      <w:r>
        <w:rPr>
          <w:rFonts w:eastAsia="宋体"/>
          <w:szCs w:val="20"/>
          <w:lang w:val="en-GB"/>
        </w:rPr>
        <w:t xml:space="preserve">UE shall be able to apply the activated PL RS no later than slot </w:t>
      </w:r>
      <w:r>
        <w:rPr>
          <w:rFonts w:hint="eastAsia" w:eastAsia="宋体"/>
          <w:i/>
          <w:szCs w:val="20"/>
        </w:rPr>
        <w:t>i</w:t>
      </w:r>
      <w:r>
        <w:rPr>
          <w:szCs w:val="20"/>
        </w:rPr>
        <w:t xml:space="preserve"> +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HARQ</m:t>
            </m:r>
            <m:ctrlPr>
              <w:rPr>
                <w:rFonts w:ascii="Cambria Math" w:hAnsi="Cambria Math"/>
                <w:szCs w:val="20"/>
              </w:rPr>
            </m:ctrlPr>
          </m:sub>
        </m:sSub>
      </m:oMath>
      <w:r>
        <w:rPr>
          <w:szCs w:val="20"/>
        </w:rPr>
        <w:t xml:space="preserve">+ </w:t>
      </w:r>
      <m:oMath>
        <m:d>
          <m:dPr>
            <m:begChr m:val="⌈"/>
            <m:endChr m:val="⌉"/>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3ms + 5*</m:t>
                </m:r>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ctrlPr>
                      <w:rPr>
                        <w:rFonts w:ascii="Cambria Math" w:hAnsi="Cambria Math"/>
                        <w:szCs w:val="20"/>
                      </w:rPr>
                    </m:ctrlPr>
                  </m:sub>
                </m:sSub>
                <m:r>
                  <m:rPr>
                    <m:sty m:val="p"/>
                  </m:rPr>
                  <w:rPr>
                    <w:rFonts w:ascii="Cambria Math" w:hAnsi="Cambria Math"/>
                    <w:szCs w:val="20"/>
                  </w:rPr>
                  <m:t xml:space="preserve"> + 2ms</m:t>
                </m:r>
                <m:ctrlPr>
                  <w:rPr>
                    <w:rFonts w:ascii="Cambria Math" w:hAnsi="Cambria Math"/>
                    <w:szCs w:val="20"/>
                  </w:rPr>
                </m:ctrlPr>
              </m:num>
              <m:den>
                <m:r>
                  <w:rPr>
                    <w:rFonts w:ascii="Cambria Math" w:hAnsi="Cambria Math"/>
                    <w:szCs w:val="20"/>
                  </w:rPr>
                  <m:t>NR</m:t>
                </m:r>
                <m:r>
                  <m:rPr>
                    <m:sty m:val="p"/>
                  </m:rPr>
                  <w:rPr>
                    <w:rFonts w:ascii="Cambria Math" w:hAnsi="Cambria Math"/>
                    <w:szCs w:val="20"/>
                  </w:rPr>
                  <m:t xml:space="preserve"> </m:t>
                </m:r>
                <m:r>
                  <w:rPr>
                    <w:rFonts w:ascii="Cambria Math" w:hAnsi="Cambria Math"/>
                    <w:szCs w:val="20"/>
                  </w:rPr>
                  <m:t>slot</m:t>
                </m:r>
                <m:r>
                  <m:rPr>
                    <m:sty m:val="p"/>
                  </m:rPr>
                  <w:rPr>
                    <w:rFonts w:ascii="Cambria Math" w:hAnsi="Cambria Math"/>
                    <w:szCs w:val="20"/>
                  </w:rPr>
                  <m:t xml:space="preserve"> </m:t>
                </m:r>
                <m:r>
                  <w:rPr>
                    <w:rFonts w:ascii="Cambria Math" w:hAnsi="Cambria Math"/>
                    <w:szCs w:val="20"/>
                  </w:rPr>
                  <m:t>length</m:t>
                </m:r>
                <m:ctrlPr>
                  <w:rPr>
                    <w:rFonts w:ascii="Cambria Math" w:hAnsi="Cambria Math"/>
                    <w:szCs w:val="20"/>
                  </w:rPr>
                </m:ctrlPr>
              </m:den>
            </m:f>
            <m:ctrlPr>
              <w:rPr>
                <w:rFonts w:ascii="Cambria Math" w:hAnsi="Cambria Math"/>
                <w:szCs w:val="20"/>
              </w:rPr>
            </m:ctrlPr>
          </m:e>
        </m:d>
      </m:oMath>
      <w:r>
        <w:rPr>
          <w:rFonts w:ascii="Cambria Math" w:hAnsi="Cambria Math" w:eastAsia="宋体"/>
          <w:lang w:val="en-GB"/>
        </w:rPr>
        <w:t xml:space="preserve"> </w:t>
      </w:r>
      <w:r>
        <w:rPr>
          <w:rFonts w:eastAsia="宋体"/>
          <w:lang w:val="en-GB"/>
        </w:rPr>
        <w:t xml:space="preserve">, where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HARQ</m:t>
            </m:r>
            <m:ctrlPr>
              <w:rPr>
                <w:rFonts w:ascii="Cambria Math" w:hAnsi="Cambria Math"/>
                <w:szCs w:val="20"/>
              </w:rPr>
            </m:ctrlPr>
          </m:sub>
        </m:sSub>
      </m:oMath>
      <w:r>
        <w:rPr>
          <w:rFonts w:eastAsia="宋体"/>
          <w:lang w:val="en-GB"/>
        </w:rPr>
        <w:t xml:space="preserve"> and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ctrlPr>
              <w:rPr>
                <w:rFonts w:ascii="Cambria Math" w:hAnsi="Cambria Math"/>
                <w:szCs w:val="20"/>
              </w:rPr>
            </m:ctrlPr>
          </m:sub>
        </m:sSub>
      </m:oMath>
      <w:r>
        <w:rPr>
          <w:rFonts w:eastAsia="宋体"/>
          <w:szCs w:val="20"/>
        </w:rPr>
        <w:t xml:space="preserve"> </w:t>
      </w:r>
      <w:r>
        <w:rPr>
          <w:rFonts w:eastAsia="宋体"/>
          <w:lang w:val="en-GB"/>
        </w:rPr>
        <w:t>denotes the latency of HARQ feedback and periodicity of PL-RS</w:t>
      </w:r>
      <w:r>
        <w:rPr>
          <w:rFonts w:eastAsia="宋体"/>
          <w:szCs w:val="20"/>
          <w:lang w:val="en-GB"/>
        </w:rPr>
        <w:t xml:space="preserve">. That means that before applying the activated PL RS, 5 PL RS measurement should be considered additionally. </w:t>
      </w:r>
    </w:p>
    <w:p>
      <w:pPr>
        <w:snapToGrid w:val="0"/>
        <w:spacing w:before="60" w:beforeLines="25" w:after="60" w:afterLines="25" w:line="300" w:lineRule="auto"/>
        <w:jc w:val="both"/>
        <w:rPr>
          <w:rFonts w:eastAsia="微软雅黑"/>
          <w:i/>
          <w:szCs w:val="20"/>
        </w:rPr>
      </w:pPr>
      <w:r>
        <w:rPr>
          <w:rFonts w:eastAsia="宋体"/>
          <w:b/>
          <w:bCs/>
          <w:i/>
          <w:iCs/>
        </w:rPr>
        <w:t xml:space="preserve">Observation 2: </w:t>
      </w:r>
      <w:r>
        <w:rPr>
          <w:rFonts w:eastAsia="微软雅黑"/>
          <w:i/>
          <w:szCs w:val="20"/>
        </w:rPr>
        <w:t xml:space="preserve">For the activation latency of TCI state and PL-RS, it can be observed that, besides for normal latency for MAC-CE activation latency,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Five PL-RS periodicities and additional duration of 2 ms should be additionally considered for PL-RS switching.</w:t>
      </w:r>
    </w:p>
    <w:p>
      <w:pPr>
        <w:snapToGrid w:val="0"/>
        <w:spacing w:before="120" w:after="120" w:afterLines="50" w:line="300" w:lineRule="auto"/>
        <w:jc w:val="both"/>
        <w:rPr>
          <w:rFonts w:eastAsia="宋体"/>
        </w:rPr>
      </w:pPr>
      <w:r>
        <w:rPr>
          <w:rFonts w:hint="eastAsia"/>
        </w:rPr>
        <w:t xml:space="preserve">For reducing the duration for the first SSB </w:t>
      </w:r>
      <w:r>
        <w:rPr>
          <w:rFonts w:eastAsia="宋体"/>
        </w:rPr>
        <w:t>after beam switching command, e.g., MAC-CE. Some mechanism</w:t>
      </w:r>
      <w:r>
        <w:rPr>
          <w:rFonts w:hint="eastAsia" w:eastAsia="宋体"/>
        </w:rPr>
        <w:t>s</w:t>
      </w:r>
      <w:r>
        <w:rPr>
          <w:rFonts w:eastAsia="宋体"/>
        </w:rPr>
        <w:t xml:space="preserve"> of pre-frequency/time synchronization should be further studied. </w:t>
      </w:r>
      <w:r>
        <w:rPr>
          <w:rFonts w:hint="eastAsia" w:eastAsia="宋体"/>
        </w:rPr>
        <w:t xml:space="preserve">For example, the UE may </w:t>
      </w:r>
      <w:r>
        <w:rPr>
          <w:rFonts w:eastAsia="宋体"/>
        </w:rPr>
        <w:t>be configured/activated with</w:t>
      </w:r>
      <w:r>
        <w:rPr>
          <w:rFonts w:hint="eastAsia" w:eastAsia="宋体"/>
        </w:rPr>
        <w:t xml:space="preserve"> </w:t>
      </w:r>
      <w:r>
        <w:rPr>
          <w:rFonts w:eastAsia="宋体"/>
        </w:rPr>
        <w:t>one or more</w:t>
      </w:r>
      <w:r>
        <w:rPr>
          <w:rFonts w:hint="eastAsia" w:eastAsia="宋体"/>
        </w:rPr>
        <w:t xml:space="preserve"> SSB</w:t>
      </w:r>
      <w:r>
        <w:rPr>
          <w:rFonts w:eastAsia="宋体"/>
        </w:rPr>
        <w:t>(s) in a pool and perform</w:t>
      </w:r>
      <w:r>
        <w:rPr>
          <w:rFonts w:hint="eastAsia" w:eastAsia="宋体"/>
        </w:rPr>
        <w:t xml:space="preserve"> </w:t>
      </w:r>
      <w:r>
        <w:rPr>
          <w:rFonts w:eastAsia="宋体"/>
        </w:rPr>
        <w:t>frequency/time synchronization</w:t>
      </w:r>
      <w:r>
        <w:rPr>
          <w:rFonts w:hint="eastAsia" w:eastAsia="宋体"/>
        </w:rPr>
        <w:t xml:space="preserve"> of SSB</w:t>
      </w:r>
      <w:r>
        <w:rPr>
          <w:rFonts w:eastAsia="宋体"/>
        </w:rPr>
        <w:t>(s)</w:t>
      </w:r>
      <w:r>
        <w:rPr>
          <w:rFonts w:hint="eastAsia" w:eastAsia="宋体"/>
        </w:rPr>
        <w:t xml:space="preserve"> in the SSB pool. If </w:t>
      </w:r>
      <w:r>
        <w:rPr>
          <w:rFonts w:eastAsia="宋体"/>
        </w:rPr>
        <w:t>a</w:t>
      </w:r>
      <w:r>
        <w:rPr>
          <w:rFonts w:hint="eastAsia" w:eastAsia="宋体"/>
        </w:rPr>
        <w:t xml:space="preserve"> SSB </w:t>
      </w:r>
      <w:r>
        <w:rPr>
          <w:rFonts w:eastAsia="宋体"/>
        </w:rPr>
        <w:t>corresponding to a</w:t>
      </w:r>
      <w:r>
        <w:rPr>
          <w:rFonts w:hint="eastAsia" w:eastAsia="宋体"/>
        </w:rPr>
        <w:t xml:space="preserve"> new activated TCI state is </w:t>
      </w:r>
      <w:r>
        <w:rPr>
          <w:rFonts w:eastAsia="宋体"/>
        </w:rPr>
        <w:t>from</w:t>
      </w:r>
      <w:r>
        <w:rPr>
          <w:rFonts w:hint="eastAsia" w:eastAsia="宋体"/>
        </w:rPr>
        <w:t xml:space="preserve"> the SSB pool, the UE can apply the new TCI state</w:t>
      </w:r>
      <w:r>
        <w:rPr>
          <w:rFonts w:eastAsia="宋体"/>
        </w:rPr>
        <w:t xml:space="preserve"> directly</w:t>
      </w:r>
      <w:r>
        <w:rPr>
          <w:rFonts w:hint="eastAsia" w:eastAsia="宋体"/>
        </w:rPr>
        <w:t xml:space="preserve"> without waiting for the first transmission of the SSB. For example the UE can track frequency and time synchronization of 4 SSB, but the activated TCI state only corresponds to 2 SSB with up to 8 TCI states. Then the UE can keep the SSB pool with 4 SSBs. </w:t>
      </w:r>
    </w:p>
    <w:p>
      <w:pPr>
        <w:pStyle w:val="109"/>
        <w:snapToGrid w:val="0"/>
        <w:spacing w:before="60" w:beforeLines="25" w:after="60" w:afterLines="25" w:line="300" w:lineRule="auto"/>
        <w:ind w:firstLine="0" w:firstLineChars="0"/>
        <w:jc w:val="both"/>
        <w:rPr>
          <w:rFonts w:eastAsia="微软雅黑"/>
          <w:i/>
          <w:szCs w:val="20"/>
        </w:rPr>
      </w:pPr>
      <w:r>
        <w:rPr>
          <w:rFonts w:hint="eastAsia" w:eastAsia="宋体"/>
          <w:b/>
          <w:bCs/>
          <w:i/>
          <w:iCs/>
        </w:rPr>
        <w:t xml:space="preserve">Proposal </w:t>
      </w:r>
      <w:r>
        <w:rPr>
          <w:rFonts w:eastAsia="宋体"/>
          <w:b/>
          <w:bCs/>
          <w:i/>
          <w:iCs/>
        </w:rPr>
        <w:t>2</w:t>
      </w:r>
      <w:r>
        <w:rPr>
          <w:rFonts w:hint="eastAsia" w:eastAsia="宋体"/>
          <w:b/>
          <w:bCs/>
          <w:i/>
          <w:iCs/>
        </w:rPr>
        <w:t>2</w:t>
      </w:r>
      <w:r>
        <w:rPr>
          <w:rFonts w:eastAsia="宋体"/>
          <w:b/>
          <w:bCs/>
          <w:i/>
          <w:iCs/>
        </w:rPr>
        <w:t xml:space="preserve">: </w:t>
      </w:r>
      <w:r>
        <w:rPr>
          <w:rFonts w:eastAsia="微软雅黑"/>
          <w:bCs/>
          <w:i/>
          <w:szCs w:val="20"/>
        </w:rPr>
        <w:t>Regarding Group 2, Opt-2A/B ‘</w:t>
      </w:r>
      <w:r>
        <w:rPr>
          <w:rFonts w:hint="eastAsia" w:eastAsia="微软雅黑"/>
          <w:i/>
          <w:szCs w:val="20"/>
        </w:rPr>
        <w:t>Latency reduction for MAC CE based TCI state/PL-RS activation, or frequency/time/beam tracking</w:t>
      </w:r>
      <w:r>
        <w:rPr>
          <w:rFonts w:eastAsia="微软雅黑"/>
          <w:i/>
          <w:szCs w:val="20"/>
        </w:rPr>
        <w:t>’ should be supported</w:t>
      </w:r>
    </w:p>
    <w:p>
      <w:pPr>
        <w:pStyle w:val="109"/>
        <w:numPr>
          <w:ilvl w:val="0"/>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微软雅黑"/>
          <w:i/>
          <w:szCs w:val="20"/>
        </w:rPr>
      </w:pPr>
      <w:r>
        <w:rPr>
          <w:rFonts w:eastAsia="宋体"/>
          <w:i/>
          <w:iCs/>
        </w:rPr>
        <w:t xml:space="preserve">UE </w:t>
      </w:r>
      <w:r>
        <w:rPr>
          <w:rFonts w:hint="eastAsia" w:eastAsia="微软雅黑"/>
          <w:i/>
          <w:szCs w:val="20"/>
        </w:rPr>
        <w:t xml:space="preserve">can maintain a different/independent pool of QCL properties and PL-RSs for a time period from the pool of activated TCI state(s) by MAC-CE, and then the maintained QCL/PL-RS can be applied directly upon indication, e.g., preventing from </w:t>
      </w:r>
      <w:r>
        <w:rPr>
          <w:rFonts w:eastAsia="微软雅黑"/>
          <w:i/>
          <w:szCs w:val="20"/>
        </w:rPr>
        <w:t>‘</w:t>
      </w:r>
      <w:r>
        <w:rPr>
          <w:rFonts w:hint="eastAsia" w:eastAsia="微软雅黑"/>
          <w:i/>
          <w:szCs w:val="20"/>
        </w:rPr>
        <w:t>waiting for first SSB</w:t>
      </w:r>
      <w:r>
        <w:rPr>
          <w:rFonts w:eastAsia="微软雅黑"/>
          <w:i/>
          <w:szCs w:val="20"/>
        </w:rPr>
        <w:t xml:space="preserve">’ or ‘ first RS periodicities‘ </w:t>
      </w:r>
      <w:r>
        <w:rPr>
          <w:rFonts w:hint="eastAsia" w:eastAsia="微软雅黑"/>
          <w:i/>
          <w:szCs w:val="20"/>
        </w:rPr>
        <w:t>after MAC-CE.</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 We have the following </w:t>
      </w:r>
      <w:r>
        <w:rPr>
          <w:rFonts w:hint="eastAsia" w:eastAsia="微软雅黑"/>
          <w:szCs w:val="20"/>
        </w:rPr>
        <w:t xml:space="preserve">observations and </w:t>
      </w:r>
      <w:r>
        <w:rPr>
          <w:rFonts w:eastAsia="微软雅黑"/>
          <w:szCs w:val="20"/>
        </w:rPr>
        <w:t>proposals.</w:t>
      </w:r>
    </w:p>
    <w:p>
      <w:pPr>
        <w:widowControl w:val="0"/>
        <w:snapToGrid w:val="0"/>
        <w:spacing w:before="120" w:after="120" w:afterLines="50" w:line="300" w:lineRule="auto"/>
        <w:jc w:val="both"/>
        <w:rPr>
          <w:rFonts w:eastAsia="微软雅黑"/>
          <w:szCs w:val="20"/>
          <w:u w:val="single"/>
        </w:rPr>
      </w:pPr>
      <w:r>
        <w:rPr>
          <w:rFonts w:eastAsia="微软雅黑"/>
          <w:szCs w:val="20"/>
          <w:u w:val="single"/>
        </w:rPr>
        <w:t>Unified TCI framework for both DL and UL</w:t>
      </w:r>
    </w:p>
    <w:p>
      <w:pPr>
        <w:spacing w:before="120" w:beforeLines="50" w:after="120" w:afterLines="50"/>
        <w:jc w:val="both"/>
        <w:rPr>
          <w:b/>
          <w:i/>
          <w:szCs w:val="20"/>
        </w:rPr>
      </w:pPr>
      <w:r>
        <w:rPr>
          <w:b/>
          <w:i/>
          <w:szCs w:val="20"/>
        </w:rPr>
        <w:t xml:space="preserve">Observation 1: </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Configuration flexibility of Opt-1 is sufficient for unified TCI indication, considering the identical RS configuration (e.g., TRS) across multiple CCs under the requirement of updating a common beam for all RS</w:t>
      </w:r>
      <w:r>
        <w:rPr>
          <w:rFonts w:hint="eastAsia" w:eastAsia="宋体"/>
          <w:i/>
          <w:szCs w:val="20"/>
        </w:rPr>
        <w:t>s</w:t>
      </w:r>
      <w:r>
        <w:rPr>
          <w:i/>
          <w:szCs w:val="20"/>
        </w:rPr>
        <w:t xml:space="preserve">/channels, although losing some flexibility compared with Opt-2.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w:t>
      </w:r>
      <w:r>
        <w:rPr>
          <w:rFonts w:hint="eastAsia" w:eastAsia="微软雅黑"/>
          <w:i/>
          <w:iCs/>
          <w:szCs w:val="20"/>
          <w:lang w:val="en-GB"/>
        </w:rPr>
        <w:t>/</w:t>
      </w:r>
      <w:r>
        <w:rPr>
          <w:rFonts w:eastAsia="微软雅黑"/>
          <w:i/>
          <w:iCs/>
          <w:szCs w:val="20"/>
          <w:lang w:val="en-GB"/>
        </w:rPr>
        <w:t xml:space="preserve">codepoint </w:t>
      </w:r>
      <w:r>
        <w:rPr>
          <w:rFonts w:hint="eastAsia" w:eastAsia="微软雅黑"/>
          <w:bCs/>
          <w:i/>
          <w:szCs w:val="20"/>
        </w:rPr>
        <w:t xml:space="preserve">set </w:t>
      </w:r>
      <w:r>
        <w:rPr>
          <w:rFonts w:eastAsia="微软雅黑"/>
          <w:i/>
          <w:szCs w:val="20"/>
          <w:lang w:val="en-GB"/>
        </w:rPr>
        <w:t>in</w:t>
      </w:r>
      <w:r>
        <w:rPr>
          <w:rFonts w:hint="eastAsia" w:eastAsia="微软雅黑"/>
          <w:i/>
          <w:szCs w:val="20"/>
        </w:rPr>
        <w:t xml:space="preserve"> MAC CE</w:t>
      </w:r>
      <w:r>
        <w:rPr>
          <w:rFonts w:eastAsia="微软雅黑"/>
          <w:i/>
          <w:szCs w:val="20"/>
          <w:lang w:val="en-GB"/>
        </w:rPr>
        <w:t xml:space="preserve">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 </w:t>
      </w:r>
    </w:p>
    <w:p>
      <w:pPr>
        <w:pStyle w:val="9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For separate indication, one of t</w:t>
      </w:r>
      <w:r>
        <w:rPr>
          <w:rFonts w:hint="eastAsia" w:eastAsia="微软雅黑"/>
          <w:i/>
          <w:szCs w:val="20"/>
        </w:rPr>
        <w:t xml:space="preserve">he following alternatives could be </w:t>
      </w:r>
      <w:r>
        <w:rPr>
          <w:rFonts w:eastAsia="微软雅黑"/>
          <w:i/>
          <w:szCs w:val="20"/>
        </w:rPr>
        <w:t>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Alt1: TCI state</w:t>
      </w:r>
      <w:r>
        <w:rPr>
          <w:rFonts w:hint="eastAsia" w:eastAsia="微软雅黑"/>
          <w:i/>
          <w:iCs/>
          <w:szCs w:val="20"/>
          <w:lang w:val="en-GB"/>
        </w:rPr>
        <w:t>/</w:t>
      </w:r>
      <w:r>
        <w:rPr>
          <w:rFonts w:eastAsia="微软雅黑"/>
          <w:i/>
          <w:iCs/>
          <w:szCs w:val="20"/>
          <w:lang w:val="en-GB"/>
        </w:rPr>
        <w:t>codepoint in MAC-CE is NOT specified for DL or UL, and then the mode for DL or UL of the TCI state/codepoint is indicated by DCI.</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Alt2: TCI state/codepoint in MAC-CE is specified for DL or UL, which means that the legacy TCI field in DCI can be reused but with some flexibility degradation.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3</w:t>
      </w:r>
      <w:r>
        <w:rPr>
          <w:rFonts w:eastAsia="微软雅黑"/>
          <w:b/>
          <w:i/>
          <w:szCs w:val="20"/>
          <w:lang w:val="en-GB"/>
        </w:rPr>
        <w:t>:</w:t>
      </w:r>
      <w:r>
        <w:rPr>
          <w:rFonts w:hint="eastAsia" w:eastAsia="微软雅黑"/>
          <w:i/>
          <w:szCs w:val="20"/>
          <w:lang w:val="en-GB"/>
        </w:rPr>
        <w:t xml:space="preserve"> </w:t>
      </w:r>
      <w:r>
        <w:rPr>
          <w:rFonts w:hint="eastAsia" w:eastAsia="微软雅黑"/>
          <w:i/>
          <w:iCs/>
          <w:szCs w:val="20"/>
          <w:lang w:val="en-GB"/>
        </w:rPr>
        <w:t xml:space="preserve">Beam-specific power control (involving P0/alpha, PL RS, and closed loop index) is supported (analogous to Rel.15/16) </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For PUSCH, PUCCH and SRS resource set (for CB, NCB and </w:t>
      </w:r>
      <w:r>
        <w:rPr>
          <w:rFonts w:hint="eastAsia" w:eastAsia="微软雅黑"/>
          <w:i/>
          <w:iCs/>
          <w:szCs w:val="20"/>
        </w:rPr>
        <w:t>AS(</w:t>
      </w:r>
      <w:r>
        <w:rPr>
          <w:rFonts w:hint="eastAsia" w:eastAsia="微软雅黑"/>
          <w:i/>
          <w:iCs/>
          <w:szCs w:val="20"/>
          <w:lang w:val="en-GB"/>
        </w:rPr>
        <w:t>antenna switch</w:t>
      </w:r>
      <w:r>
        <w:rPr>
          <w:rFonts w:hint="eastAsia" w:eastAsia="微软雅黑"/>
          <w:i/>
          <w:iCs/>
          <w:szCs w:val="20"/>
        </w:rPr>
        <w:t>ing)</w:t>
      </w:r>
      <w:r>
        <w:rPr>
          <w:rFonts w:hint="eastAsia" w:eastAsia="微软雅黑"/>
          <w:i/>
          <w:iCs/>
          <w:szCs w:val="20"/>
          <w:lang w:val="en-GB"/>
        </w:rPr>
        <w:t>), PL-RS is determined according to the indicated UL TCI state or (if applicable) joint TCI state (AltB+AltC is 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PL-RS can be associated with (but not included in)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If not associated, PL-RS is the periodic DL-RS used as a source RS for determining spatial TX filter or the PL RS used for the UL RS in UL or (if applicable) joint TCI state</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For PUSCH, PUCCH and SRS resource set (for CB, NCB and AS), other PC parameters (involving P0/alpha and closed loop index) is determined according to the indicated UL TCI state or (if applicable) joint TCI state</w:t>
      </w:r>
      <w:r>
        <w:rPr>
          <w:rFonts w:hint="eastAsia" w:eastAsia="微软雅黑"/>
          <w:i/>
          <w:iCs/>
          <w:szCs w:val="20"/>
        </w:rPr>
        <w:t xml:space="preserve"> </w:t>
      </w:r>
      <w:r>
        <w:rPr>
          <w:rFonts w:hint="eastAsia" w:eastAsia="微软雅黑"/>
          <w:i/>
          <w:iCs/>
          <w:szCs w:val="20"/>
          <w:lang w:val="en-GB"/>
        </w:rPr>
        <w:t>(Alt</w:t>
      </w:r>
      <w:r>
        <w:rPr>
          <w:rFonts w:hint="eastAsia" w:eastAsia="微软雅黑"/>
          <w:i/>
          <w:iCs/>
          <w:szCs w:val="20"/>
        </w:rPr>
        <w:t>A</w:t>
      </w:r>
      <w:r>
        <w:rPr>
          <w:rFonts w:hint="eastAsia" w:eastAsia="微软雅黑"/>
          <w:i/>
          <w:iCs/>
          <w:szCs w:val="20"/>
          <w:lang w:val="en-GB"/>
        </w:rPr>
        <w:t>)</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Other PC parameters (involving P0/alpha and closed loop index) can be associated with (but not included in) UL TCI state or (if applicable) joint TCI state </w:t>
      </w:r>
    </w:p>
    <w:p>
      <w:pPr>
        <w:pStyle w:val="109"/>
        <w:numPr>
          <w:ilvl w:val="255"/>
          <w:numId w:val="0"/>
        </w:num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4:</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宋体"/>
          <w:i/>
        </w:rPr>
        <w:t>.</w:t>
      </w:r>
    </w:p>
    <w:p>
      <w:pPr>
        <w:pStyle w:val="99"/>
        <w:numPr>
          <w:ilvl w:val="0"/>
          <w:numId w:val="6"/>
        </w:numPr>
        <w:snapToGrid w:val="0"/>
        <w:spacing w:before="60" w:beforeLines="25" w:after="60" w:afterLines="25" w:line="300" w:lineRule="auto"/>
        <w:ind w:firstLineChars="0"/>
        <w:jc w:val="both"/>
        <w:rPr>
          <w:rFonts w:eastAsia="宋体"/>
          <w:i/>
          <w:lang w:val="en-GB"/>
        </w:rPr>
      </w:pPr>
      <w:r>
        <w:rPr>
          <w:rFonts w:eastAsia="宋体"/>
          <w:i/>
          <w:lang w:val="en-GB"/>
        </w:rPr>
        <w:t>Regarding QCL-TypeA, a CC ID for QCL-TypeA RS is absent in a TCI state, and the CC ID for QCL-TypeA RS is determined according to a target CC of the TCI state.</w:t>
      </w:r>
    </w:p>
    <w:p>
      <w:pPr>
        <w:pStyle w:val="99"/>
        <w:numPr>
          <w:ilvl w:val="0"/>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Regarding QCL-TypeD, a single QCL-TypeD RS is determined from the common TCI state(s) for set of the CCs, and support enhanced QCL chain, i.e., the QCL-TypeA TRS and, if any, QCL-TypeD TRS, in the same/different CSI-RS resources (Alt</w:t>
      </w:r>
      <w:r>
        <w:rPr>
          <w:rFonts w:hint="eastAsia" w:eastAsia="宋体"/>
          <w:i/>
        </w:rPr>
        <w:t>-</w:t>
      </w:r>
      <w:r>
        <w:rPr>
          <w:rFonts w:eastAsia="宋体"/>
          <w:i/>
          <w:lang w:val="en-GB"/>
        </w:rPr>
        <w:t>2)</w:t>
      </w:r>
    </w:p>
    <w:p>
      <w:pPr>
        <w:pStyle w:val="99"/>
        <w:numPr>
          <w:ilvl w:val="1"/>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QCL-TypeA RS(s) in each of CCs corresponding to the indicated TCI state should be QCLed with the single QCL-TypeD RS.</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5:</w:t>
      </w:r>
      <w:r>
        <w:rPr>
          <w:rFonts w:hint="eastAsia" w:eastAsia="微软雅黑"/>
          <w:i/>
          <w:szCs w:val="20"/>
          <w:lang w:val="en-GB"/>
        </w:rPr>
        <w:t xml:space="preserve"> </w:t>
      </w:r>
      <w:r>
        <w:rPr>
          <w:rFonts w:hint="eastAsia" w:eastAsia="微软雅黑"/>
          <w:i/>
          <w:szCs w:val="20"/>
        </w:rPr>
        <w:t>Regarding source RS and target RS</w:t>
      </w:r>
      <w:r>
        <w:rPr>
          <w:rFonts w:eastAsia="微软雅黑"/>
          <w:i/>
          <w:szCs w:val="20"/>
        </w:rPr>
        <w:t>/channels</w:t>
      </w:r>
      <w:r>
        <w:rPr>
          <w:rFonts w:hint="eastAsia" w:eastAsia="微软雅黑"/>
          <w:i/>
          <w:szCs w:val="20"/>
        </w:rPr>
        <w:t xml:space="preserve"> for DL TCI state,</w:t>
      </w:r>
    </w:p>
    <w:p>
      <w:pPr>
        <w:pStyle w:val="99"/>
        <w:numPr>
          <w:ilvl w:val="0"/>
          <w:numId w:val="13"/>
        </w:numPr>
        <w:snapToGrid w:val="0"/>
        <w:spacing w:before="60" w:beforeLines="25" w:after="60" w:afterLines="25"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can be </w:t>
      </w:r>
      <w:r>
        <w:rPr>
          <w:i/>
          <w:iCs/>
          <w:szCs w:val="20"/>
        </w:rPr>
        <w:t>supported as source RS types</w:t>
      </w:r>
      <w:r>
        <w:rPr>
          <w:rFonts w:eastAsia="宋体"/>
          <w:i/>
          <w:iCs/>
          <w:szCs w:val="20"/>
        </w:rPr>
        <w:t xml:space="preserve"> for DL TCI state;</w:t>
      </w:r>
    </w:p>
    <w:p>
      <w:pPr>
        <w:pStyle w:val="99"/>
        <w:numPr>
          <w:ilvl w:val="0"/>
          <w:numId w:val="13"/>
        </w:numPr>
        <w:snapToGrid w:val="0"/>
        <w:spacing w:before="60" w:beforeLines="25" w:after="60" w:afterLines="25" w:line="300" w:lineRule="auto"/>
        <w:ind w:firstLineChars="0"/>
        <w:jc w:val="both"/>
        <w:rPr>
          <w:rFonts w:eastAsia="微软雅黑"/>
          <w:i/>
          <w:iCs/>
          <w:szCs w:val="20"/>
        </w:rPr>
      </w:pPr>
      <w:r>
        <w:rPr>
          <w:i/>
          <w:iCs/>
          <w:szCs w:val="20"/>
        </w:rPr>
        <w:t>Aperiodic CSI-RS for CSI can be supported as target RS types for DL TCI state;</w:t>
      </w:r>
    </w:p>
    <w:p>
      <w:pPr>
        <w:pStyle w:val="99"/>
        <w:numPr>
          <w:ilvl w:val="1"/>
          <w:numId w:val="13"/>
        </w:numPr>
        <w:snapToGrid w:val="0"/>
        <w:spacing w:before="60" w:beforeLines="25" w:after="60" w:afterLines="25" w:line="300" w:lineRule="auto"/>
        <w:ind w:firstLineChars="0"/>
        <w:jc w:val="both"/>
        <w:rPr>
          <w:rFonts w:eastAsia="微软雅黑"/>
          <w:i/>
          <w:iCs/>
          <w:szCs w:val="20"/>
        </w:rPr>
      </w:pPr>
      <w:r>
        <w:rPr>
          <w:rFonts w:eastAsia="宋体"/>
          <w:i/>
          <w:iCs/>
          <w:szCs w:val="20"/>
        </w:rPr>
        <w:t xml:space="preserve">Note that </w:t>
      </w:r>
      <w:r>
        <w:rPr>
          <w:rFonts w:hint="eastAsia" w:eastAsia="宋体"/>
          <w:i/>
          <w:iCs/>
          <w:szCs w:val="20"/>
        </w:rPr>
        <w:t>periodic and semi-persistent CSI-RS</w:t>
      </w:r>
      <w:r>
        <w:rPr>
          <w:rFonts w:eastAsia="宋体"/>
          <w:i/>
          <w:iCs/>
          <w:szCs w:val="20"/>
        </w:rPr>
        <w:t xml:space="preserve"> (e.g., periodic/semi-persistent CSI-RS</w:t>
      </w:r>
      <w:r>
        <w:rPr>
          <w:rFonts w:hint="eastAsia" w:eastAsia="宋体"/>
          <w:i/>
          <w:iCs/>
          <w:szCs w:val="20"/>
        </w:rPr>
        <w:t xml:space="preserve"> for CSI, and periodic TRS</w:t>
      </w:r>
      <w:r>
        <w:rPr>
          <w:rFonts w:eastAsia="宋体"/>
          <w:i/>
          <w:iCs/>
          <w:szCs w:val="20"/>
        </w:rPr>
        <w:t>)</w:t>
      </w:r>
      <w:r>
        <w:rPr>
          <w:rFonts w:hint="eastAsia" w:eastAsia="宋体"/>
          <w:i/>
          <w:iCs/>
          <w:szCs w:val="20"/>
        </w:rPr>
        <w:t xml:space="preserve"> should NOT b</w:t>
      </w:r>
      <w:r>
        <w:rPr>
          <w:i/>
          <w:iCs/>
          <w:szCs w:val="20"/>
        </w:rPr>
        <w:t>e supported as target RS types for DL TCI state</w:t>
      </w:r>
    </w:p>
    <w:p>
      <w:pPr>
        <w:snapToGrid w:val="0"/>
        <w:spacing w:before="60" w:beforeLines="25" w:after="60" w:afterLines="25" w:line="300" w:lineRule="auto"/>
        <w:jc w:val="both"/>
        <w:rPr>
          <w:rFonts w:eastAsia="微软雅黑"/>
          <w:i/>
          <w:iCs/>
          <w:szCs w:val="20"/>
        </w:rPr>
      </w:pPr>
      <w:r>
        <w:rPr>
          <w:rFonts w:hint="eastAsia" w:eastAsia="微软雅黑"/>
          <w:b/>
          <w:i/>
          <w:szCs w:val="20"/>
          <w:lang w:val="en-GB"/>
        </w:rPr>
        <w:t>P</w:t>
      </w:r>
      <w:r>
        <w:rPr>
          <w:rFonts w:eastAsia="微软雅黑"/>
          <w:b/>
          <w:i/>
          <w:szCs w:val="20"/>
          <w:lang w:val="en-GB"/>
        </w:rPr>
        <w:t>roposal 6:</w:t>
      </w:r>
      <w:r>
        <w:rPr>
          <w:rFonts w:hint="eastAsia" w:eastAsia="微软雅黑"/>
          <w:i/>
          <w:szCs w:val="20"/>
          <w:lang w:val="en-GB"/>
        </w:rPr>
        <w:t xml:space="preserve"> </w:t>
      </w:r>
      <w:r>
        <w:rPr>
          <w:rFonts w:eastAsia="微软雅黑"/>
          <w:i/>
          <w:szCs w:val="20"/>
          <w:lang w:val="en-GB"/>
        </w:rPr>
        <w:t>For</w:t>
      </w:r>
      <w:r>
        <w:rPr>
          <w:rFonts w:eastAsia="微软雅黑"/>
          <w:i/>
          <w:iCs/>
          <w:szCs w:val="20"/>
        </w:rPr>
        <w:t xml:space="preserve"> RSs/channels to which Rel-17 unified TCI can NOT apply, Rel-15/16 signaling mechanisms are reused.</w:t>
      </w:r>
    </w:p>
    <w:p>
      <w:pPr>
        <w:pStyle w:val="111"/>
        <w:numPr>
          <w:ilvl w:val="0"/>
          <w:numId w:val="13"/>
        </w:numPr>
        <w:snapToGrid w:val="0"/>
        <w:spacing w:before="60" w:beforeLines="25" w:after="60" w:afterLines="25" w:line="300" w:lineRule="auto"/>
        <w:ind w:firstLineChars="0"/>
        <w:jc w:val="both"/>
        <w:rPr>
          <w:rFonts w:eastAsia="微软雅黑"/>
          <w:i/>
          <w:iCs/>
          <w:szCs w:val="20"/>
        </w:rPr>
      </w:pPr>
      <w:r>
        <w:rPr>
          <w:rFonts w:eastAsia="微软雅黑"/>
          <w:i/>
          <w:iCs/>
          <w:szCs w:val="20"/>
        </w:rPr>
        <w:t>For DL RSs/channels, the same/single RRC TCI state pool as for unified TCI framework</w:t>
      </w:r>
      <w:r>
        <w:rPr>
          <w:rFonts w:hint="eastAsia" w:eastAsia="微软雅黑"/>
          <w:i/>
          <w:iCs/>
          <w:szCs w:val="20"/>
        </w:rPr>
        <w:t xml:space="preserve"> </w:t>
      </w:r>
      <w:r>
        <w:rPr>
          <w:rFonts w:eastAsia="微软雅黑"/>
          <w:i/>
          <w:iCs/>
          <w:szCs w:val="20"/>
        </w:rPr>
        <w:t>can be shared.</w:t>
      </w:r>
    </w:p>
    <w:p>
      <w:pPr>
        <w:pStyle w:val="111"/>
        <w:numPr>
          <w:ilvl w:val="0"/>
          <w:numId w:val="13"/>
        </w:numPr>
        <w:snapToGrid w:val="0"/>
        <w:spacing w:before="60" w:beforeLines="25" w:after="60" w:afterLines="25" w:line="300" w:lineRule="auto"/>
        <w:ind w:firstLineChars="0"/>
        <w:jc w:val="both"/>
        <w:rPr>
          <w:rFonts w:eastAsia="微软雅黑"/>
          <w:i/>
          <w:iCs/>
          <w:szCs w:val="20"/>
        </w:rPr>
      </w:pPr>
      <w:r>
        <w:rPr>
          <w:rFonts w:eastAsia="微软雅黑"/>
          <w:i/>
          <w:iCs/>
          <w:szCs w:val="20"/>
        </w:rPr>
        <w:t>For UL RSs/channels, the</w:t>
      </w:r>
      <w:r>
        <w:rPr>
          <w:rFonts w:hint="eastAsia" w:eastAsia="微软雅黑"/>
          <w:i/>
          <w:iCs/>
          <w:szCs w:val="20"/>
        </w:rPr>
        <w:t xml:space="preserve"> RRC spatial relation pool as in Rel-15/16</w:t>
      </w:r>
      <w:r>
        <w:rPr>
          <w:rFonts w:eastAsia="微软雅黑"/>
          <w:i/>
          <w:iCs/>
          <w:szCs w:val="20"/>
        </w:rPr>
        <w:t xml:space="preserve"> can be reused</w:t>
      </w:r>
      <w:r>
        <w:rPr>
          <w:rFonts w:hint="eastAsia" w:eastAsia="微软雅黑"/>
          <w:i/>
          <w:iCs/>
          <w:szCs w:val="20"/>
        </w:rPr>
        <w:t>.</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7</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till August meeting (RAN1#106).</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Signaling design for DCI based TCI state indication</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8</w:t>
      </w:r>
      <w:r>
        <w:rPr>
          <w:rFonts w:hint="eastAsia" w:eastAsia="微软雅黑"/>
          <w:b/>
          <w:bCs/>
          <w:i/>
          <w:iCs/>
          <w:szCs w:val="20"/>
        </w:rPr>
        <w:t>:</w:t>
      </w:r>
      <w:r>
        <w:rPr>
          <w:rFonts w:hint="eastAsia" w:eastAsia="微软雅黑"/>
          <w:i/>
          <w:iCs/>
          <w:szCs w:val="20"/>
        </w:rPr>
        <w:t xml:space="preserve"> Regarding application time of the TCI state indication for both of the DCI with or without DL assignment, the following alternative from RAN1#104-e, should be </w:t>
      </w:r>
      <w:r>
        <w:rPr>
          <w:rFonts w:eastAsia="微软雅黑"/>
          <w:i/>
          <w:iCs/>
          <w:szCs w:val="20"/>
        </w:rPr>
        <w:t>supported</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eastAsia="微软雅黑"/>
          <w:i/>
          <w:iCs/>
          <w:szCs w:val="20"/>
        </w:rPr>
        <w:t>T</w:t>
      </w:r>
      <w:r>
        <w:rPr>
          <w:rFonts w:hint="eastAsia" w:eastAsia="微软雅黑"/>
          <w:i/>
          <w:iCs/>
          <w:szCs w:val="20"/>
        </w:rPr>
        <w:t>he first slot that is at least X ms or Y symbols after the acknowledgment of the joint or separate DL/UL beam indication (Alt2A)</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The beam application time can be indicated by DCI, like Rel-15/16 PDSCH.</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On Rel.17 unified TCI framework, Rel-15/16 default beam/power control mechanism for PDSCH/PUCCH/ SRS is NOT supported</w:t>
      </w:r>
      <w:r>
        <w:rPr>
          <w:rFonts w:eastAsia="微软雅黑"/>
          <w:i/>
          <w:iCs/>
          <w:szCs w:val="20"/>
        </w:rPr>
        <w:t>.</w:t>
      </w:r>
      <w:r>
        <w:rPr>
          <w:rFonts w:hint="eastAsia" w:eastAsia="微软雅黑"/>
          <w:i/>
          <w:iCs/>
          <w:szCs w:val="20"/>
        </w:rPr>
        <w:t xml:space="preserve"> </w:t>
      </w:r>
    </w:p>
    <w:p>
      <w:pPr>
        <w:pStyle w:val="109"/>
        <w:numPr>
          <w:ilvl w:val="1"/>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Note: it was agreed for configuration of beam application time by gNB based on UE capability</w:t>
      </w:r>
      <w:r>
        <w:rPr>
          <w:rFonts w:eastAsia="微软雅黑"/>
          <w:i/>
          <w:iCs/>
          <w:szCs w:val="20"/>
        </w:rPr>
        <w:t>.</w:t>
      </w:r>
    </w:p>
    <w:p>
      <w:pPr>
        <w:snapToGrid w:val="0"/>
        <w:spacing w:before="120" w:after="120" w:afterLines="50" w:line="300" w:lineRule="auto"/>
        <w:jc w:val="both"/>
        <w:rPr>
          <w:rFonts w:eastAsia="微软雅黑"/>
          <w:i/>
          <w:iCs/>
          <w:szCs w:val="20"/>
        </w:rPr>
      </w:pPr>
      <w:r>
        <w:rPr>
          <w:rFonts w:eastAsia="微软雅黑"/>
          <w:b/>
          <w:bCs/>
          <w:i/>
          <w:iCs/>
          <w:szCs w:val="20"/>
        </w:rPr>
        <w:t>Proposal 9:</w:t>
      </w:r>
      <w:r>
        <w:rPr>
          <w:rFonts w:eastAsia="微软雅黑"/>
          <w:i/>
          <w:iCs/>
          <w:szCs w:val="20"/>
        </w:rPr>
        <w:t xml:space="preserve"> Regarding</w:t>
      </w:r>
      <w:r>
        <w:rPr>
          <w:rFonts w:hint="eastAsia" w:eastAsia="微软雅黑"/>
          <w:i/>
          <w:iCs/>
          <w:szCs w:val="20"/>
        </w:rPr>
        <w:t xml:space="preserve"> joint DL/UL TCI v.s. separate DL/UL TCI, Alt</w:t>
      </w:r>
      <w:r>
        <w:rPr>
          <w:rFonts w:eastAsia="微软雅黑"/>
          <w:i/>
          <w:iCs/>
          <w:szCs w:val="20"/>
        </w:rPr>
        <w:t>1 and Alt</w:t>
      </w:r>
      <w:r>
        <w:rPr>
          <w:rFonts w:hint="eastAsia" w:eastAsia="微软雅黑"/>
          <w:i/>
          <w:iCs/>
          <w:szCs w:val="20"/>
        </w:rPr>
        <w:t>2B</w:t>
      </w:r>
      <w:r>
        <w:rPr>
          <w:rFonts w:eastAsia="宋体"/>
          <w:i/>
          <w:iCs/>
        </w:rPr>
        <w:t xml:space="preserve"> </w:t>
      </w:r>
      <w:r>
        <w:rPr>
          <w:rFonts w:hint="eastAsia" w:eastAsia="微软雅黑"/>
          <w:i/>
          <w:iCs/>
          <w:szCs w:val="20"/>
        </w:rPr>
        <w:t>should be supported.</w:t>
      </w:r>
    </w:p>
    <w:p>
      <w:pPr>
        <w:pStyle w:val="109"/>
        <w:widowControl w:val="0"/>
        <w:numPr>
          <w:ilvl w:val="0"/>
          <w:numId w:val="6"/>
        </w:numPr>
        <w:snapToGrid w:val="0"/>
        <w:spacing w:before="60" w:beforeLines="25" w:after="60" w:afterLines="25" w:line="300" w:lineRule="auto"/>
        <w:ind w:firstLineChars="0"/>
        <w:jc w:val="both"/>
        <w:rPr>
          <w:rFonts w:eastAsia="宋体"/>
          <w:i/>
          <w:iCs/>
        </w:rPr>
      </w:pPr>
      <w:r>
        <w:rPr>
          <w:i/>
          <w:iCs/>
        </w:rPr>
        <w:t>A UE can be configured with either joint DL/UL TCI, separate DL/UL TCI, or both via RRC signaling</w:t>
      </w:r>
      <w:r>
        <w:rPr>
          <w:rFonts w:eastAsia="宋体"/>
          <w:i/>
          <w:iCs/>
        </w:rPr>
        <w:t xml:space="preserve"> </w:t>
      </w:r>
    </w:p>
    <w:p>
      <w:pPr>
        <w:pStyle w:val="109"/>
        <w:widowControl w:val="0"/>
        <w:numPr>
          <w:ilvl w:val="1"/>
          <w:numId w:val="6"/>
        </w:numPr>
        <w:snapToGrid w:val="0"/>
        <w:spacing w:before="60" w:beforeLines="25" w:after="60" w:afterLines="25" w:line="300" w:lineRule="auto"/>
        <w:ind w:firstLineChars="0"/>
        <w:jc w:val="both"/>
        <w:rPr>
          <w:rFonts w:eastAsia="宋体"/>
          <w:i/>
          <w:iCs/>
        </w:rPr>
      </w:pPr>
      <w:r>
        <w:rPr>
          <w:rFonts w:eastAsia="宋体"/>
          <w:i/>
          <w:iCs/>
        </w:rPr>
        <w:t xml:space="preserve">When the UE is configured with modes of separate DL/UL TCI or both joint and separate DL/UL TCI, the UE can be dynamically indicated the applicable scope of a TCI state by </w:t>
      </w:r>
      <w:r>
        <w:rPr>
          <w:rFonts w:eastAsia="微软雅黑"/>
          <w:i/>
          <w:iCs/>
          <w:szCs w:val="20"/>
        </w:rPr>
        <w:t>dynamic</w:t>
      </w:r>
      <w:r>
        <w:rPr>
          <w:rFonts w:eastAsia="宋体"/>
          <w:i/>
          <w:iCs/>
        </w:rPr>
        <w:t xml:space="preserve"> signaling. </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L1/L2-centric inter-cell mobility</w:t>
      </w:r>
    </w:p>
    <w:p>
      <w:pPr>
        <w:snapToGrid w:val="0"/>
        <w:spacing w:before="120" w:after="120" w:afterLines="50" w:line="300" w:lineRule="auto"/>
        <w:jc w:val="both"/>
        <w:rPr>
          <w:rFonts w:eastAsia="微软雅黑"/>
          <w:i/>
          <w:iCs/>
          <w:szCs w:val="20"/>
        </w:rPr>
      </w:pPr>
      <w:r>
        <w:rPr>
          <w:rFonts w:eastAsia="微软雅黑"/>
          <w:b/>
          <w:bCs/>
          <w:i/>
          <w:iCs/>
          <w:szCs w:val="20"/>
        </w:rPr>
        <w:t>Proposal 10:</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6"/>
        </w:numPr>
        <w:snapToGrid w:val="0"/>
        <w:spacing w:before="120" w:after="120" w:afterLines="50" w:line="300" w:lineRule="auto"/>
        <w:ind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for each SSB resource in a RRC configured SSB set by MAC-CE.</w:t>
      </w:r>
    </w:p>
    <w:p>
      <w:pPr>
        <w:pStyle w:val="111"/>
        <w:numPr>
          <w:ilvl w:val="0"/>
          <w:numId w:val="6"/>
        </w:numPr>
        <w:snapToGrid w:val="0"/>
        <w:spacing w:before="120" w:after="120" w:afterLines="50" w:line="300" w:lineRule="auto"/>
        <w:ind w:firstLineChars="0"/>
        <w:jc w:val="both"/>
        <w:rPr>
          <w:rFonts w:eastAsia="微软雅黑"/>
          <w:i/>
          <w:iCs/>
          <w:szCs w:val="20"/>
        </w:rPr>
      </w:pPr>
      <w:r>
        <w:rPr>
          <w:rFonts w:eastAsia="微软雅黑"/>
          <w:i/>
          <w:iCs/>
          <w:szCs w:val="20"/>
        </w:rPr>
        <w:t xml:space="preserve">Regarding aperiodic reporting,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 xml:space="preserve">associated with non-serving cell information in RRC (rather than TCI state per aperiodic CSI-RS), and then the legacy MAC-CE for activating AP-CSI triggering sate is reused for dynamically enabling the measurement. </w:t>
      </w:r>
    </w:p>
    <w:p>
      <w:pPr>
        <w:pStyle w:val="111"/>
        <w:numPr>
          <w:ilvl w:val="1"/>
          <w:numId w:val="6"/>
        </w:numPr>
        <w:snapToGrid w:val="0"/>
        <w:spacing w:before="120" w:after="120" w:afterLines="50" w:line="300" w:lineRule="auto"/>
        <w:ind w:firstLineChars="0"/>
        <w:jc w:val="both"/>
        <w:rPr>
          <w:rFonts w:eastAsia="微软雅黑"/>
          <w:i/>
          <w:iCs/>
          <w:szCs w:val="20"/>
        </w:rPr>
      </w:pPr>
      <w:r>
        <w:rPr>
          <w:rFonts w:eastAsia="微软雅黑"/>
          <w:i/>
          <w:iCs/>
          <w:szCs w:val="20"/>
        </w:rPr>
        <w:t xml:space="preserve">Notes that, compared with Rel-15/16, the legacy MAC-CE is always needed,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pStyle w:val="109"/>
        <w:numPr>
          <w:ilvl w:val="255"/>
          <w:numId w:val="0"/>
        </w:numPr>
        <w:snapToGrid w:val="0"/>
        <w:spacing w:before="120" w:after="120" w:afterLines="50"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1</w:t>
      </w:r>
      <w:r>
        <w:rPr>
          <w:rFonts w:hint="eastAsia"/>
          <w:b/>
          <w:bCs/>
          <w:i/>
          <w:iCs/>
        </w:rPr>
        <w:t>:</w:t>
      </w:r>
      <w:r>
        <w:rPr>
          <w:b/>
          <w:bCs/>
          <w:i/>
          <w:iCs/>
        </w:rPr>
        <w:t xml:space="preserve"> </w:t>
      </w:r>
      <w:r>
        <w:rPr>
          <w:rFonts w:eastAsia="微软雅黑"/>
          <w:i/>
          <w:szCs w:val="20"/>
        </w:rPr>
        <w:t>Besides NW-Initiated reporting,</w:t>
      </w:r>
      <w:r>
        <w:rPr>
          <w:rFonts w:hint="eastAsia" w:eastAsia="宋体"/>
          <w:b/>
          <w:bCs/>
          <w:i/>
          <w:iCs/>
        </w:rPr>
        <w:t xml:space="preserve"> </w:t>
      </w:r>
      <w:r>
        <w:rPr>
          <w:rFonts w:eastAsia="宋体"/>
          <w:i/>
        </w:rPr>
        <w:t>event-driven mechanism for L1/L2-centric inter-cell mobility</w:t>
      </w:r>
      <w:r>
        <w:rPr>
          <w:rFonts w:hint="eastAsia" w:eastAsia="宋体"/>
          <w:i/>
        </w:rPr>
        <w:t xml:space="preserve"> should be supported </w:t>
      </w:r>
    </w:p>
    <w:p>
      <w:pPr>
        <w:pStyle w:val="111"/>
        <w:numPr>
          <w:ilvl w:val="0"/>
          <w:numId w:val="6"/>
        </w:numPr>
        <w:snapToGrid w:val="0"/>
        <w:spacing w:before="120" w:after="120" w:afterLines="50" w:line="300" w:lineRule="auto"/>
        <w:ind w:firstLineChars="0"/>
        <w:jc w:val="both"/>
        <w:rPr>
          <w:rFonts w:eastAsia="宋体"/>
          <w:b/>
          <w:sz w:val="21"/>
          <w:szCs w:val="20"/>
        </w:rPr>
      </w:pPr>
      <w:r>
        <w:rPr>
          <w:rFonts w:eastAsia="宋体"/>
          <w:i/>
        </w:rPr>
        <w:t xml:space="preserve"> L1-RSRP reporting involving new candidate beams and non-serving</w:t>
      </w:r>
      <w:r>
        <w:rPr>
          <w:rFonts w:hint="eastAsia" w:eastAsia="宋体"/>
          <w:i/>
        </w:rPr>
        <w:t xml:space="preserve"> </w:t>
      </w:r>
      <w:r>
        <w:rPr>
          <w:rFonts w:eastAsia="宋体"/>
          <w:i/>
        </w:rPr>
        <w:t xml:space="preserve">cell information (e.g., PCI) can be carried by a MAC-CE after initialized by an </w:t>
      </w:r>
      <w:r>
        <w:rPr>
          <w:rFonts w:eastAsia="微软雅黑"/>
          <w:i/>
          <w:iCs/>
          <w:szCs w:val="20"/>
        </w:rPr>
        <w:t>event</w:t>
      </w:r>
      <w:r>
        <w:rPr>
          <w:rFonts w:eastAsia="宋体"/>
          <w:i/>
        </w:rPr>
        <w:t xml:space="preserve"> triggered by L3 mobility measurement.</w:t>
      </w:r>
    </w:p>
    <w:p>
      <w:pPr>
        <w:pStyle w:val="109"/>
        <w:numPr>
          <w:ilvl w:val="255"/>
          <w:numId w:val="0"/>
        </w:numPr>
        <w:snapToGrid w:val="0"/>
        <w:spacing w:before="120" w:after="120" w:afterLines="50" w:line="300" w:lineRule="auto"/>
        <w:jc w:val="both"/>
        <w:rPr>
          <w:rFonts w:eastAsia="宋体"/>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 xml:space="preserve">Differential L1-RSRP should be performed per non-serving cell/serving cell, when beam(s) associated with a non-serving cell can be mixed with that associated with serving-cell in a reporting instance. </w:t>
      </w:r>
    </w:p>
    <w:p>
      <w:pPr>
        <w:pStyle w:val="109"/>
        <w:snapToGrid w:val="0"/>
        <w:spacing w:before="120" w:after="120" w:afterLines="50" w:line="300" w:lineRule="auto"/>
        <w:ind w:firstLine="0" w:firstLineChars="0"/>
        <w:jc w:val="both"/>
        <w:rPr>
          <w:rFonts w:eastAsia="宋体"/>
          <w:i/>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eastAsia="微软雅黑"/>
          <w:b/>
          <w:bCs/>
          <w:i/>
          <w:iCs/>
          <w:szCs w:val="20"/>
        </w:rPr>
        <w:t>4</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non-serving cell information)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The parameter configuration is applied upon the corresponding TCI indication.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hint="eastAsia" w:eastAsia="微软雅黑"/>
          <w:i/>
          <w:szCs w:val="20"/>
        </w:rPr>
        <w:t xml:space="preserve">The association between configuration of cell and TCI state group can be done by MAC-CE. </w:t>
      </w:r>
    </w:p>
    <w:p>
      <w:pPr>
        <w:pStyle w:val="109"/>
        <w:numPr>
          <w:ilvl w:val="1"/>
          <w:numId w:val="6"/>
        </w:numPr>
        <w:snapToGrid w:val="0"/>
        <w:spacing w:before="60" w:beforeLines="25" w:after="60" w:afterLines="25" w:line="300" w:lineRule="auto"/>
        <w:ind w:firstLineChars="0"/>
        <w:jc w:val="both"/>
        <w:rPr>
          <w:rFonts w:eastAsia="微软雅黑"/>
          <w:i/>
          <w:szCs w:val="20"/>
        </w:rPr>
      </w:pPr>
      <w:r>
        <w:rPr>
          <w:rFonts w:eastAsia="宋体"/>
          <w:i/>
        </w:rPr>
        <w:t>Note: The TCI state group corresponds to the current serving cell, if the association is absent</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UL beam selection for UE with multiple panels and MPE</w:t>
      </w:r>
    </w:p>
    <w:p>
      <w:pPr>
        <w:snapToGrid w:val="0"/>
        <w:spacing w:before="60" w:beforeLines="25" w:after="60" w:afterLines="25" w:line="240" w:lineRule="auto"/>
        <w:jc w:val="both"/>
        <w:rPr>
          <w:rFonts w:eastAsia="微软雅黑"/>
          <w:i/>
          <w:szCs w:val="20"/>
        </w:rPr>
      </w:pPr>
      <w:r>
        <w:rPr>
          <w:rFonts w:eastAsia="微软雅黑"/>
          <w:b/>
          <w:i/>
          <w:szCs w:val="20"/>
        </w:rPr>
        <w:t>Proposal 15:</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r>
        <w:rPr>
          <w:rFonts w:hint="eastAsia" w:eastAsiaTheme="minorEastAsia"/>
          <w:i/>
          <w:szCs w:val="20"/>
        </w:rPr>
        <w:t xml:space="preserve"> (Opt1-2)</w:t>
      </w:r>
    </w:p>
    <w:p>
      <w:pPr>
        <w:snapToGrid w:val="0"/>
        <w:spacing w:before="60" w:beforeLines="25" w:after="60" w:afterLines="25" w:line="240" w:lineRule="auto"/>
        <w:jc w:val="both"/>
        <w:rPr>
          <w:rFonts w:eastAsia="微软雅黑"/>
          <w:i/>
          <w:szCs w:val="20"/>
        </w:rPr>
      </w:pPr>
      <w:r>
        <w:rPr>
          <w:rFonts w:eastAsia="微软雅黑"/>
          <w:b/>
          <w:i/>
          <w:szCs w:val="20"/>
        </w:rPr>
        <w:t>Proposal 16:</w:t>
      </w:r>
      <w:r>
        <w:rPr>
          <w:rFonts w:hint="eastAsia" w:eastAsia="微软雅黑"/>
          <w:b/>
          <w:i/>
          <w:szCs w:val="20"/>
        </w:rPr>
        <w:t xml:space="preserve"> </w:t>
      </w:r>
      <w:r>
        <w:rPr>
          <w:rFonts w:hint="eastAsia" w:eastAsia="微软雅黑"/>
          <w:i/>
          <w:szCs w:val="20"/>
        </w:rPr>
        <w:t>For both CB and NCB PUSCH transmission, more than one SRS resource sets can be introduced for facilitating independent number of ports of different UE panel and UL power control</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rFonts w:hint="eastAsia" w:eastAsia="微软雅黑"/>
          <w:i/>
          <w:szCs w:val="20"/>
        </w:rPr>
        <w:t>F</w:t>
      </w:r>
      <w:r>
        <w:rPr>
          <w:i/>
          <w:szCs w:val="20"/>
        </w:rPr>
        <w:t>or CB, the SRS resources from different sets may have different number of ports.</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i/>
          <w:szCs w:val="20"/>
        </w:rPr>
        <w:t>For NCB, the SRS sets may have different number of SRS resources</w:t>
      </w:r>
    </w:p>
    <w:p>
      <w:pPr>
        <w:pStyle w:val="109"/>
        <w:numPr>
          <w:ilvl w:val="0"/>
          <w:numId w:val="6"/>
        </w:numPr>
        <w:overflowPunct w:val="0"/>
        <w:autoSpaceDE w:val="0"/>
        <w:autoSpaceDN w:val="0"/>
        <w:adjustRightInd w:val="0"/>
        <w:snapToGrid w:val="0"/>
        <w:spacing w:before="60" w:beforeLines="25" w:after="60" w:afterLines="25" w:line="300" w:lineRule="auto"/>
        <w:ind w:left="358" w:hanging="358" w:hangingChars="179"/>
        <w:jc w:val="both"/>
        <w:textAlignment w:val="baseline"/>
        <w:rPr>
          <w:i/>
          <w:szCs w:val="20"/>
        </w:rPr>
      </w:pPr>
      <w:r>
        <w:rPr>
          <w:rFonts w:hint="eastAsia" w:eastAsia="微软雅黑"/>
          <w:i/>
          <w:szCs w:val="20"/>
        </w:rPr>
        <w:t>Reuse DCI signaling for Rel-17 mTRP-PUSCH (dynamical TRP switching) for SRS resource set indication besides SRI</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7</w:t>
      </w:r>
      <w:r>
        <w:rPr>
          <w:rFonts w:eastAsia="微软雅黑"/>
          <w:b/>
          <w:i/>
          <w:szCs w:val="20"/>
        </w:rPr>
        <w:t>:</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8</w:t>
      </w:r>
      <w:r>
        <w:rPr>
          <w:rFonts w:eastAsia="微软雅黑"/>
          <w:b/>
          <w:i/>
          <w:szCs w:val="20"/>
        </w:rPr>
        <w:t>:</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6"/>
        </w:numPr>
        <w:snapToGrid w:val="0"/>
        <w:spacing w:before="60" w:beforeLines="25" w:after="60" w:afterLines="25" w:line="300" w:lineRule="auto"/>
        <w:ind w:firstLineChars="0"/>
        <w:jc w:val="both"/>
        <w:rPr>
          <w:szCs w:val="20"/>
          <w:lang w:val="en-GB"/>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overflowPunct w:val="0"/>
        <w:autoSpaceDE w:val="0"/>
        <w:autoSpaceDN w:val="0"/>
        <w:adjustRightInd w:val="0"/>
        <w:spacing w:before="120" w:beforeLines="50" w:after="120" w:line="300" w:lineRule="auto"/>
        <w:jc w:val="both"/>
        <w:textAlignment w:val="baseline"/>
        <w:rPr>
          <w:i/>
          <w:szCs w:val="20"/>
          <w:lang w:val="en-GB"/>
        </w:rPr>
      </w:pPr>
      <w:r>
        <w:rPr>
          <w:rFonts w:eastAsia="微软雅黑"/>
          <w:b/>
          <w:i/>
          <w:szCs w:val="20"/>
        </w:rPr>
        <w:t xml:space="preserve">Proposal </w:t>
      </w:r>
      <w:r>
        <w:rPr>
          <w:rFonts w:hint="eastAsia" w:eastAsia="微软雅黑"/>
          <w:b/>
          <w:i/>
          <w:szCs w:val="20"/>
        </w:rPr>
        <w:t>19</w:t>
      </w:r>
      <w:r>
        <w:rPr>
          <w:rFonts w:eastAsia="微软雅黑"/>
          <w:b/>
          <w:i/>
          <w:szCs w:val="20"/>
        </w:rPr>
        <w:t>:</w:t>
      </w:r>
      <w:r>
        <w:rPr>
          <w:rFonts w:hint="eastAsia" w:eastAsia="微软雅黑"/>
          <w:b/>
          <w:i/>
          <w:szCs w:val="20"/>
        </w:rPr>
        <w:t xml:space="preserve"> </w:t>
      </w:r>
      <w:r>
        <w:rPr>
          <w:i/>
          <w:szCs w:val="20"/>
          <w:lang w:val="en-GB"/>
        </w:rPr>
        <w:t xml:space="preserve">On Rel.17 enhancements to facilitate MPE mitigation, UE-initiated (event-driven) reporting for MPE is prioritized over NW-initialized one </w:t>
      </w:r>
    </w:p>
    <w:p>
      <w:pPr>
        <w:snapToGrid w:val="0"/>
        <w:spacing w:before="60" w:beforeLines="25" w:after="60" w:afterLines="25" w:line="240" w:lineRule="auto"/>
        <w:jc w:val="both"/>
        <w:rPr>
          <w:rFonts w:eastAsia="宋体"/>
          <w:i/>
          <w:szCs w:val="20"/>
        </w:rPr>
      </w:pPr>
      <w:r>
        <w:rPr>
          <w:rFonts w:eastAsia="微软雅黑"/>
          <w:b/>
          <w:i/>
          <w:szCs w:val="20"/>
        </w:rPr>
        <w:t xml:space="preserve">Proposal </w:t>
      </w:r>
      <w:r>
        <w:rPr>
          <w:rFonts w:hint="eastAsia" w:eastAsia="微软雅黑"/>
          <w:b/>
          <w:i/>
          <w:szCs w:val="20"/>
        </w:rPr>
        <w:t>20</w:t>
      </w:r>
      <w:r>
        <w:rPr>
          <w:rFonts w:eastAsia="微软雅黑"/>
          <w:b/>
          <w:i/>
          <w:szCs w:val="20"/>
        </w:rPr>
        <w:t>:</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r>
        <w:rPr>
          <w:rFonts w:hint="eastAsia" w:eastAsia="宋体" w:cs="Times"/>
          <w:i/>
        </w:rPr>
        <w:t xml:space="preserve"> (i.e. RRC configured SSBRI(s)/CRI(s) set as candidate pool in Opt 1A)</w:t>
      </w:r>
    </w:p>
    <w:p>
      <w:pPr>
        <w:pStyle w:val="109"/>
        <w:numPr>
          <w:ilvl w:val="0"/>
          <w:numId w:val="6"/>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widowControl w:val="0"/>
        <w:snapToGrid w:val="0"/>
        <w:spacing w:before="120" w:after="120" w:afterLines="50" w:line="300" w:lineRule="auto"/>
        <w:jc w:val="both"/>
        <w:rPr>
          <w:rFonts w:eastAsia="微软雅黑"/>
          <w:szCs w:val="20"/>
          <w:u w:val="single"/>
        </w:rPr>
      </w:pPr>
      <w:r>
        <w:rPr>
          <w:rFonts w:eastAsia="微软雅黑"/>
          <w:szCs w:val="20"/>
          <w:u w:val="single"/>
        </w:rPr>
        <w:t>Advanced beam training/tracking with latency reduction</w:t>
      </w:r>
    </w:p>
    <w:p>
      <w:pPr>
        <w:snapToGrid w:val="0"/>
        <w:spacing w:before="60" w:beforeLines="25" w:after="60" w:afterLines="25" w:line="300" w:lineRule="auto"/>
        <w:jc w:val="both"/>
        <w:rPr>
          <w:rFonts w:eastAsia="微软雅黑"/>
          <w:i/>
          <w:szCs w:val="20"/>
        </w:rPr>
      </w:pPr>
      <w:r>
        <w:rPr>
          <w:rFonts w:eastAsia="宋体"/>
          <w:b/>
          <w:bCs/>
          <w:i/>
          <w:iCs/>
        </w:rPr>
        <w:t xml:space="preserve">Observation 2: </w:t>
      </w:r>
      <w:r>
        <w:rPr>
          <w:rFonts w:eastAsia="微软雅黑"/>
          <w:i/>
          <w:szCs w:val="20"/>
        </w:rPr>
        <w:t xml:space="preserve">For the activation latency of TCI state and PL-RS, it can be observed that, besides for normal latency for MAC-CE activation latency,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Five PL-RS periodicities and additional duration of 2 ms should be additionally considered for PL-RS switching.</w:t>
      </w:r>
    </w:p>
    <w:p>
      <w:pPr>
        <w:snapToGrid w:val="0"/>
        <w:spacing w:before="120" w:after="120" w:afterLines="50"/>
        <w:jc w:val="both"/>
        <w:rPr>
          <w:rFonts w:eastAsia="微软雅黑"/>
          <w:bCs/>
          <w:i/>
          <w:szCs w:val="20"/>
        </w:rPr>
      </w:pPr>
      <w:r>
        <w:rPr>
          <w:b/>
          <w:i/>
          <w:szCs w:val="20"/>
        </w:rPr>
        <w:t>Proposal 2</w:t>
      </w:r>
      <w:r>
        <w:rPr>
          <w:rFonts w:hint="eastAsia" w:eastAsia="宋体"/>
          <w:b/>
          <w:i/>
          <w:szCs w:val="20"/>
        </w:rPr>
        <w:t>1</w:t>
      </w:r>
      <w:r>
        <w:rPr>
          <w:b/>
          <w:i/>
          <w:szCs w:val="20"/>
        </w:rPr>
        <w:t xml:space="preserve">: </w:t>
      </w:r>
      <w:r>
        <w:rPr>
          <w:rFonts w:eastAsia="微软雅黑"/>
          <w:bCs/>
          <w:i/>
          <w:szCs w:val="20"/>
        </w:rPr>
        <w:t>Regarding Group 1, ‘</w:t>
      </w:r>
      <w:r>
        <w:rPr>
          <w:rFonts w:hint="eastAsia" w:eastAsia="微软雅黑"/>
          <w:bCs/>
          <w:i/>
          <w:szCs w:val="20"/>
        </w:rPr>
        <w:t xml:space="preserve">Opt 1-4: </w:t>
      </w:r>
      <w:r>
        <w:rPr>
          <w:rFonts w:eastAsia="微软雅黑"/>
          <w:bCs/>
          <w:i/>
          <w:szCs w:val="20"/>
        </w:rPr>
        <w:t xml:space="preserve">Aperiodic beam measurement/reporting based on multiple resource sets </w:t>
      </w:r>
      <w:r>
        <w:rPr>
          <w:rFonts w:hint="eastAsia" w:eastAsia="微软雅黑"/>
          <w:bCs/>
          <w:i/>
          <w:szCs w:val="20"/>
        </w:rPr>
        <w:t>for reducing beam measurement latency</w:t>
      </w:r>
      <w:r>
        <w:rPr>
          <w:rFonts w:eastAsia="微软雅黑"/>
          <w:bCs/>
          <w:i/>
          <w:szCs w:val="20"/>
        </w:rPr>
        <w:t>’ should be supported</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hint="eastAsia" w:eastAsia="微软雅黑"/>
          <w:bCs/>
          <w:i/>
          <w:szCs w:val="20"/>
        </w:rPr>
        <w:t>Enabling joint DL TX and RX beam refinement/tracking (P2+P3).</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eastAsia="微软雅黑"/>
          <w:bCs/>
          <w:i/>
          <w:szCs w:val="20"/>
        </w:rPr>
        <w:t>Additional UE report to aid P2/P3 related measurement/report configuration</w:t>
      </w:r>
      <w:r>
        <w:rPr>
          <w:rFonts w:hint="eastAsia" w:eastAsia="微软雅黑"/>
          <w:bCs/>
          <w:i/>
          <w:szCs w:val="20"/>
        </w:rPr>
        <w:t>, such as</w:t>
      </w:r>
      <w:r>
        <w:rPr>
          <w:rFonts w:eastAsia="微软雅黑"/>
          <w:bCs/>
          <w:i/>
          <w:szCs w:val="20"/>
        </w:rPr>
        <w:t xml:space="preserve"> triggering request, the number of candidate RS(s)</w:t>
      </w:r>
      <w:r>
        <w:rPr>
          <w:rFonts w:hint="eastAsia" w:eastAsia="微软雅黑"/>
          <w:bCs/>
          <w:i/>
          <w:szCs w:val="20"/>
        </w:rPr>
        <w:t xml:space="preserve"> or periodicity</w:t>
      </w:r>
      <w:r>
        <w:rPr>
          <w:rFonts w:eastAsia="微软雅黑"/>
          <w:bCs/>
          <w:i/>
          <w:szCs w:val="20"/>
        </w:rPr>
        <w:t>) should be considered.</w:t>
      </w:r>
    </w:p>
    <w:p>
      <w:pPr>
        <w:pStyle w:val="109"/>
        <w:snapToGrid w:val="0"/>
        <w:spacing w:before="60" w:beforeLines="25" w:after="60" w:afterLines="25" w:line="300" w:lineRule="auto"/>
        <w:ind w:firstLine="0" w:firstLineChars="0"/>
        <w:jc w:val="both"/>
        <w:rPr>
          <w:rFonts w:eastAsia="微软雅黑"/>
          <w:i/>
          <w:szCs w:val="20"/>
        </w:rPr>
      </w:pPr>
      <w:r>
        <w:rPr>
          <w:rFonts w:hint="eastAsia" w:eastAsia="宋体"/>
          <w:b/>
          <w:bCs/>
          <w:i/>
          <w:iCs/>
        </w:rPr>
        <w:t xml:space="preserve">Proposal </w:t>
      </w:r>
      <w:r>
        <w:rPr>
          <w:rFonts w:eastAsia="宋体"/>
          <w:b/>
          <w:bCs/>
          <w:i/>
          <w:iCs/>
        </w:rPr>
        <w:t>2</w:t>
      </w:r>
      <w:r>
        <w:rPr>
          <w:rFonts w:hint="eastAsia" w:eastAsia="宋体"/>
          <w:b/>
          <w:bCs/>
          <w:i/>
          <w:iCs/>
        </w:rPr>
        <w:t>2</w:t>
      </w:r>
      <w:r>
        <w:rPr>
          <w:rFonts w:eastAsia="宋体"/>
          <w:b/>
          <w:bCs/>
          <w:i/>
          <w:iCs/>
        </w:rPr>
        <w:t xml:space="preserve">: </w:t>
      </w:r>
      <w:r>
        <w:rPr>
          <w:rFonts w:eastAsia="微软雅黑"/>
          <w:bCs/>
          <w:i/>
          <w:szCs w:val="20"/>
        </w:rPr>
        <w:t>Regarding Group 2, Opt-2A/B ‘</w:t>
      </w:r>
      <w:r>
        <w:rPr>
          <w:rFonts w:hint="eastAsia" w:eastAsia="微软雅黑"/>
          <w:i/>
          <w:szCs w:val="20"/>
        </w:rPr>
        <w:t>Latency reduction for MAC CE based TCI state/PL-RS activation, or frequency/time/beam tracking</w:t>
      </w:r>
      <w:r>
        <w:rPr>
          <w:rFonts w:eastAsia="微软雅黑"/>
          <w:i/>
          <w:szCs w:val="20"/>
        </w:rPr>
        <w:t>’ should be supported</w:t>
      </w:r>
    </w:p>
    <w:p>
      <w:pPr>
        <w:pStyle w:val="109"/>
        <w:numPr>
          <w:ilvl w:val="0"/>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微软雅黑"/>
          <w:i/>
          <w:szCs w:val="20"/>
        </w:rPr>
      </w:pPr>
      <w:r>
        <w:rPr>
          <w:rFonts w:eastAsia="宋体"/>
          <w:i/>
          <w:iCs/>
        </w:rPr>
        <w:t xml:space="preserve">UE </w:t>
      </w:r>
      <w:r>
        <w:rPr>
          <w:rFonts w:hint="eastAsia" w:eastAsia="微软雅黑"/>
          <w:i/>
          <w:szCs w:val="20"/>
        </w:rPr>
        <w:t xml:space="preserve">can maintain a different/independent pool of QCL properties and PL-RSs for a time period from the pool of activated TCI state(s) by MAC-CE, and then the maintained QCL/PL-RS can be applied directly upon indication, e.g., preventing from </w:t>
      </w:r>
      <w:r>
        <w:rPr>
          <w:rFonts w:eastAsia="微软雅黑"/>
          <w:i/>
          <w:szCs w:val="20"/>
        </w:rPr>
        <w:t>‘</w:t>
      </w:r>
      <w:r>
        <w:rPr>
          <w:rFonts w:hint="eastAsia" w:eastAsia="微软雅黑"/>
          <w:i/>
          <w:szCs w:val="20"/>
        </w:rPr>
        <w:t>waiting for first SSB</w:t>
      </w:r>
      <w:r>
        <w:rPr>
          <w:rFonts w:eastAsia="微软雅黑"/>
          <w:i/>
          <w:szCs w:val="20"/>
        </w:rPr>
        <w:t xml:space="preserve">’ or ‘first RS periodicities‘ </w:t>
      </w:r>
      <w:r>
        <w:rPr>
          <w:rFonts w:hint="eastAsia" w:eastAsia="微软雅黑"/>
          <w:i/>
          <w:szCs w:val="20"/>
        </w:rPr>
        <w:t>after MAC-CE.</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bookmarkStart w:id="0" w:name="_GoBack"/>
      <w:bookmarkEnd w:id="0"/>
      <w:r>
        <w:rPr>
          <w:rFonts w:hint="eastAsia" w:eastAsia="Arial Unicode MS"/>
          <w:b/>
          <w:bCs/>
          <w:sz w:val="28"/>
          <w:szCs w:val="28"/>
        </w:rPr>
        <w:t>References</w:t>
      </w:r>
    </w:p>
    <w:p>
      <w:pPr>
        <w:pStyle w:val="73"/>
        <w:numPr>
          <w:ilvl w:val="0"/>
          <w:numId w:val="27"/>
        </w:numPr>
        <w:snapToGrid w:val="0"/>
        <w:rPr>
          <w:bCs/>
          <w:sz w:val="20"/>
          <w:szCs w:val="20"/>
        </w:rPr>
      </w:pPr>
      <w:r>
        <w:rPr>
          <w:rFonts w:hint="eastAsia"/>
          <w:bCs/>
          <w:sz w:val="20"/>
          <w:szCs w:val="20"/>
        </w:rPr>
        <w:t>Chairman's Notes RAN1#104b-e final</w:t>
      </w:r>
    </w:p>
    <w:p>
      <w:pPr>
        <w:pStyle w:val="73"/>
        <w:numPr>
          <w:ilvl w:val="0"/>
          <w:numId w:val="27"/>
        </w:numPr>
        <w:snapToGrid w:val="0"/>
        <w:rPr>
          <w:bCs/>
          <w:sz w:val="20"/>
          <w:szCs w:val="20"/>
        </w:rPr>
      </w:pPr>
      <w:r>
        <w:rPr>
          <w:bCs/>
          <w:sz w:val="20"/>
          <w:szCs w:val="20"/>
        </w:rPr>
        <w:t>R1-2102667, Further details on Multi-beam and Multi-TRP operation, ZTE</w:t>
      </w:r>
    </w:p>
    <w:p>
      <w:pPr>
        <w:pStyle w:val="73"/>
        <w:numPr>
          <w:ilvl w:val="0"/>
          <w:numId w:val="27"/>
        </w:numPr>
        <w:snapToGrid w:val="0"/>
        <w:rPr>
          <w:bCs/>
          <w:sz w:val="20"/>
          <w:szCs w:val="20"/>
        </w:rPr>
      </w:pPr>
      <w:r>
        <w:rPr>
          <w:bCs/>
          <w:sz w:val="20"/>
          <w:szCs w:val="20"/>
        </w:rPr>
        <w:t>R1-2102248</w:t>
      </w:r>
      <w:r>
        <w:rPr>
          <w:rFonts w:hint="eastAsia"/>
          <w:bCs/>
          <w:sz w:val="20"/>
          <w:szCs w:val="20"/>
        </w:rPr>
        <w:t xml:space="preserve">, </w:t>
      </w:r>
      <w:r>
        <w:rPr>
          <w:bCs/>
          <w:sz w:val="20"/>
          <w:szCs w:val="20"/>
        </w:rPr>
        <w:t>LS on TCI State Update for L1/L2-Centric Inter-Cell Mobility, Samsung</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DengXian">
    <w:altName w:val="宋体"/>
    <w:panose1 w:val="00000000000000000000"/>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4008A4F"/>
    <w:multiLevelType w:val="singleLevel"/>
    <w:tmpl w:val="B4008A4F"/>
    <w:lvl w:ilvl="0" w:tentative="0">
      <w:start w:val="1"/>
      <w:numFmt w:val="bullet"/>
      <w:lvlText w:val=""/>
      <w:lvlJc w:val="left"/>
      <w:pPr>
        <w:ind w:left="820" w:hanging="42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8D39D8"/>
    <w:multiLevelType w:val="multilevel"/>
    <w:tmpl w:val="258D39D8"/>
    <w:lvl w:ilvl="0" w:tentative="0">
      <w:start w:val="0"/>
      <w:numFmt w:val="bullet"/>
      <w:lvlText w:val=""/>
      <w:lvlJc w:val="left"/>
      <w:pPr>
        <w:ind w:left="0" w:hanging="360"/>
      </w:pPr>
      <w:rPr>
        <w:rFonts w:ascii="Symbol" w:hAnsi="Symbol"/>
      </w:rPr>
    </w:lvl>
    <w:lvl w:ilvl="1" w:tentative="0">
      <w:start w:val="0"/>
      <w:numFmt w:val="bullet"/>
      <w:lvlText w:val="o"/>
      <w:lvlJc w:val="left"/>
      <w:pPr>
        <w:ind w:left="720" w:hanging="360"/>
      </w:pPr>
      <w:rPr>
        <w:rFonts w:ascii="Courier New" w:hAnsi="Courier New" w:cs="Courier New"/>
      </w:rPr>
    </w:lvl>
    <w:lvl w:ilvl="2" w:tentative="0">
      <w:start w:val="0"/>
      <w:numFmt w:val="bullet"/>
      <w:lvlText w:val=""/>
      <w:lvlJc w:val="left"/>
      <w:pPr>
        <w:ind w:left="1440" w:hanging="360"/>
      </w:pPr>
      <w:rPr>
        <w:rFonts w:ascii="Wingdings" w:hAnsi="Wingdings"/>
      </w:rPr>
    </w:lvl>
    <w:lvl w:ilvl="3" w:tentative="0">
      <w:start w:val="0"/>
      <w:numFmt w:val="bullet"/>
      <w:lvlText w:val=""/>
      <w:lvlJc w:val="left"/>
      <w:pPr>
        <w:ind w:left="2160" w:hanging="360"/>
      </w:pPr>
      <w:rPr>
        <w:rFonts w:ascii="Symbol" w:hAnsi="Symbol"/>
      </w:rPr>
    </w:lvl>
    <w:lvl w:ilvl="4" w:tentative="0">
      <w:start w:val="0"/>
      <w:numFmt w:val="bullet"/>
      <w:lvlText w:val="o"/>
      <w:lvlJc w:val="left"/>
      <w:pPr>
        <w:ind w:left="2880" w:hanging="360"/>
      </w:pPr>
      <w:rPr>
        <w:rFonts w:ascii="Courier New" w:hAnsi="Courier New" w:cs="Courier New"/>
      </w:rPr>
    </w:lvl>
    <w:lvl w:ilvl="5" w:tentative="0">
      <w:start w:val="0"/>
      <w:numFmt w:val="bullet"/>
      <w:lvlText w:val=""/>
      <w:lvlJc w:val="left"/>
      <w:pPr>
        <w:ind w:left="3600" w:hanging="360"/>
      </w:pPr>
      <w:rPr>
        <w:rFonts w:ascii="Wingdings" w:hAnsi="Wingdings"/>
      </w:rPr>
    </w:lvl>
    <w:lvl w:ilvl="6" w:tentative="0">
      <w:start w:val="0"/>
      <w:numFmt w:val="bullet"/>
      <w:lvlText w:val=""/>
      <w:lvlJc w:val="left"/>
      <w:pPr>
        <w:ind w:left="4320" w:hanging="360"/>
      </w:pPr>
      <w:rPr>
        <w:rFonts w:ascii="Symbol" w:hAnsi="Symbol"/>
      </w:rPr>
    </w:lvl>
    <w:lvl w:ilvl="7" w:tentative="0">
      <w:start w:val="0"/>
      <w:numFmt w:val="bullet"/>
      <w:lvlText w:val="o"/>
      <w:lvlJc w:val="left"/>
      <w:pPr>
        <w:ind w:left="5040" w:hanging="360"/>
      </w:pPr>
      <w:rPr>
        <w:rFonts w:ascii="Courier New" w:hAnsi="Courier New" w:cs="Courier New"/>
      </w:rPr>
    </w:lvl>
    <w:lvl w:ilvl="8" w:tentative="0">
      <w:start w:val="0"/>
      <w:numFmt w:val="bullet"/>
      <w:lvlText w:val=""/>
      <w:lvlJc w:val="left"/>
      <w:pPr>
        <w:ind w:left="5760" w:hanging="360"/>
      </w:pPr>
      <w:rPr>
        <w:rFonts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2B7C7AE2"/>
    <w:multiLevelType w:val="multilevel"/>
    <w:tmpl w:val="2B7C7AE2"/>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7">
    <w:nsid w:val="306F49D6"/>
    <w:multiLevelType w:val="multilevel"/>
    <w:tmpl w:val="306F49D6"/>
    <w:lvl w:ilvl="0" w:tentative="0">
      <w:start w:val="1"/>
      <w:numFmt w:val="bullet"/>
      <w:lvlText w:val="o"/>
      <w:lvlJc w:val="left"/>
      <w:pPr>
        <w:ind w:left="760" w:hanging="360"/>
      </w:pPr>
      <w:rPr>
        <w:rFonts w:hint="default" w:ascii="Courier New" w:hAnsi="Courier New" w:cs="Courier New"/>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30C35CFC"/>
    <w:multiLevelType w:val="multilevel"/>
    <w:tmpl w:val="30C35C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F91CFF"/>
    <w:multiLevelType w:val="multilevel"/>
    <w:tmpl w:val="33F91CFF"/>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7D35D59"/>
    <w:multiLevelType w:val="multilevel"/>
    <w:tmpl w:val="37D35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BC01B1"/>
    <w:multiLevelType w:val="multilevel"/>
    <w:tmpl w:val="49BC01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3">
    <w:nsid w:val="4B140ED7"/>
    <w:multiLevelType w:val="multilevel"/>
    <w:tmpl w:val="4B140ED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C841F1E"/>
    <w:multiLevelType w:val="multilevel"/>
    <w:tmpl w:val="4C841F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E93823A"/>
    <w:multiLevelType w:val="singleLevel"/>
    <w:tmpl w:val="5E93823A"/>
    <w:lvl w:ilvl="0" w:tentative="0">
      <w:start w:val="1"/>
      <w:numFmt w:val="decimal"/>
      <w:suff w:val="space"/>
      <w:lvlText w:val="[%1]"/>
      <w:lvlJc w:val="left"/>
    </w:lvl>
  </w:abstractNum>
  <w:abstractNum w:abstractNumId="16">
    <w:nsid w:val="62813F17"/>
    <w:multiLevelType w:val="multilevel"/>
    <w:tmpl w:val="62813F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40613F0"/>
    <w:multiLevelType w:val="multilevel"/>
    <w:tmpl w:val="64061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C51584"/>
    <w:multiLevelType w:val="multilevel"/>
    <w:tmpl w:val="64C515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A951415"/>
    <w:multiLevelType w:val="multilevel"/>
    <w:tmpl w:val="6A95141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2DA5858"/>
    <w:multiLevelType w:val="multilevel"/>
    <w:tmpl w:val="72DA58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7374B63"/>
    <w:multiLevelType w:val="singleLevel"/>
    <w:tmpl w:val="77374B63"/>
    <w:lvl w:ilvl="0" w:tentative="0">
      <w:start w:val="1"/>
      <w:numFmt w:val="bullet"/>
      <w:lvlText w:val=""/>
      <w:lvlJc w:val="left"/>
      <w:pPr>
        <w:ind w:left="420" w:hanging="420"/>
      </w:pPr>
      <w:rPr>
        <w:rFonts w:hint="default" w:ascii="Wingdings" w:hAnsi="Wingdings"/>
      </w:rPr>
    </w:lvl>
  </w:abstractNum>
  <w:abstractNum w:abstractNumId="23">
    <w:nsid w:val="77B6426D"/>
    <w:multiLevelType w:val="multilevel"/>
    <w:tmpl w:val="77B64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9F302D"/>
    <w:multiLevelType w:val="multilevel"/>
    <w:tmpl w:val="789F302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E740F66"/>
    <w:multiLevelType w:val="multilevel"/>
    <w:tmpl w:val="7E740F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US"/>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21"/>
  </w:num>
  <w:num w:numId="4">
    <w:abstractNumId w:val="3"/>
  </w:num>
  <w:num w:numId="5">
    <w:abstractNumId w:val="5"/>
  </w:num>
  <w:num w:numId="6">
    <w:abstractNumId w:val="13"/>
  </w:num>
  <w:num w:numId="7">
    <w:abstractNumId w:val="2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4"/>
  </w:num>
  <w:num w:numId="11">
    <w:abstractNumId w:val="26"/>
  </w:num>
  <w:num w:numId="12">
    <w:abstractNumId w:val="12"/>
  </w:num>
  <w:num w:numId="13">
    <w:abstractNumId w:val="9"/>
  </w:num>
  <w:num w:numId="14">
    <w:abstractNumId w:val="6"/>
  </w:num>
  <w:num w:numId="15">
    <w:abstractNumId w:val="4"/>
  </w:num>
  <w:num w:numId="16">
    <w:abstractNumId w:val="1"/>
  </w:num>
  <w:num w:numId="17">
    <w:abstractNumId w:val="23"/>
  </w:num>
  <w:num w:numId="18">
    <w:abstractNumId w:val="22"/>
  </w:num>
  <w:num w:numId="19">
    <w:abstractNumId w:val="17"/>
  </w:num>
  <w:num w:numId="20">
    <w:abstractNumId w:val="11"/>
  </w:num>
  <w:num w:numId="21">
    <w:abstractNumId w:val="8"/>
  </w:num>
  <w:num w:numId="22">
    <w:abstractNumId w:val="7"/>
  </w:num>
  <w:num w:numId="23">
    <w:abstractNumId w:val="16"/>
  </w:num>
  <w:num w:numId="24">
    <w:abstractNumId w:val="18"/>
  </w:num>
  <w:num w:numId="25">
    <w:abstractNumId w:val="20"/>
  </w:num>
  <w:num w:numId="26">
    <w:abstractNumId w:val="2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12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407"/>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126D"/>
    <w:rsid w:val="000B1A32"/>
    <w:rsid w:val="000B2838"/>
    <w:rsid w:val="000B2E16"/>
    <w:rsid w:val="000B3192"/>
    <w:rsid w:val="000B332B"/>
    <w:rsid w:val="000B3883"/>
    <w:rsid w:val="000B3BA7"/>
    <w:rsid w:val="000B3FCA"/>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742"/>
    <w:rsid w:val="00631F42"/>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C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1D4C"/>
    <w:rsid w:val="007A20B6"/>
    <w:rsid w:val="007A2C2C"/>
    <w:rsid w:val="007A2EC8"/>
    <w:rsid w:val="007A320A"/>
    <w:rsid w:val="007A34DF"/>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8E5"/>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3D69"/>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84D"/>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53"/>
    <w:rsid w:val="00D73885"/>
    <w:rsid w:val="00D73A1F"/>
    <w:rsid w:val="00D73E16"/>
    <w:rsid w:val="00D74437"/>
    <w:rsid w:val="00D748BF"/>
    <w:rsid w:val="00D74F1B"/>
    <w:rsid w:val="00D7571F"/>
    <w:rsid w:val="00D75757"/>
    <w:rsid w:val="00D758DD"/>
    <w:rsid w:val="00D75D22"/>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0936"/>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934010"/>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32DF1"/>
    <w:rsid w:val="10A45B57"/>
    <w:rsid w:val="10A50D79"/>
    <w:rsid w:val="10AB24DF"/>
    <w:rsid w:val="10D653BA"/>
    <w:rsid w:val="10DB6356"/>
    <w:rsid w:val="10EF5ED1"/>
    <w:rsid w:val="112A5200"/>
    <w:rsid w:val="112B7604"/>
    <w:rsid w:val="11306888"/>
    <w:rsid w:val="1168799E"/>
    <w:rsid w:val="118B5FDD"/>
    <w:rsid w:val="11A10C39"/>
    <w:rsid w:val="11A64DBC"/>
    <w:rsid w:val="11AF324A"/>
    <w:rsid w:val="11B814E6"/>
    <w:rsid w:val="1228310E"/>
    <w:rsid w:val="12325B1D"/>
    <w:rsid w:val="1244691E"/>
    <w:rsid w:val="1251591B"/>
    <w:rsid w:val="12610602"/>
    <w:rsid w:val="126B461E"/>
    <w:rsid w:val="127D72F2"/>
    <w:rsid w:val="12A908D3"/>
    <w:rsid w:val="12AA7F02"/>
    <w:rsid w:val="12B31A9B"/>
    <w:rsid w:val="12B47253"/>
    <w:rsid w:val="12DE33CA"/>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5D7C71"/>
    <w:rsid w:val="1D644902"/>
    <w:rsid w:val="1D6B1D16"/>
    <w:rsid w:val="1D8C2BA2"/>
    <w:rsid w:val="1D8F6B81"/>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F23920"/>
    <w:rsid w:val="1EF80396"/>
    <w:rsid w:val="1F234826"/>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757C7B"/>
    <w:rsid w:val="20A13861"/>
    <w:rsid w:val="20BB0C31"/>
    <w:rsid w:val="20C66D8E"/>
    <w:rsid w:val="20CF37FC"/>
    <w:rsid w:val="20D717F3"/>
    <w:rsid w:val="20F12135"/>
    <w:rsid w:val="20F90AAC"/>
    <w:rsid w:val="20FA405B"/>
    <w:rsid w:val="212B616E"/>
    <w:rsid w:val="213121BA"/>
    <w:rsid w:val="214A2960"/>
    <w:rsid w:val="215302B9"/>
    <w:rsid w:val="215670DE"/>
    <w:rsid w:val="2183462B"/>
    <w:rsid w:val="218E4A09"/>
    <w:rsid w:val="218E6399"/>
    <w:rsid w:val="219C6DDD"/>
    <w:rsid w:val="21DF3292"/>
    <w:rsid w:val="22111157"/>
    <w:rsid w:val="2229623B"/>
    <w:rsid w:val="22477192"/>
    <w:rsid w:val="224C2951"/>
    <w:rsid w:val="227A54E3"/>
    <w:rsid w:val="22865CFC"/>
    <w:rsid w:val="22BD3256"/>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B575E"/>
    <w:rsid w:val="2EB50951"/>
    <w:rsid w:val="2EB673FD"/>
    <w:rsid w:val="2EB809B1"/>
    <w:rsid w:val="2EB81831"/>
    <w:rsid w:val="2ECF7A85"/>
    <w:rsid w:val="2EE054B3"/>
    <w:rsid w:val="2EEB0155"/>
    <w:rsid w:val="2EFA0186"/>
    <w:rsid w:val="2F0F048D"/>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90250"/>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3C048E"/>
    <w:rsid w:val="38454C9B"/>
    <w:rsid w:val="385A5B31"/>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7050296"/>
    <w:rsid w:val="470A5361"/>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894A92"/>
    <w:rsid w:val="4C983FA4"/>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C451DA"/>
    <w:rsid w:val="57E12441"/>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62DCD"/>
    <w:rsid w:val="5EFB0071"/>
    <w:rsid w:val="5EFE34A1"/>
    <w:rsid w:val="5F173FD8"/>
    <w:rsid w:val="5F3262F4"/>
    <w:rsid w:val="5F5C27E5"/>
    <w:rsid w:val="5F6E2815"/>
    <w:rsid w:val="5F7C06D8"/>
    <w:rsid w:val="5FA1081C"/>
    <w:rsid w:val="5FD9462B"/>
    <w:rsid w:val="5FE061B9"/>
    <w:rsid w:val="5FEB5761"/>
    <w:rsid w:val="5FFB6305"/>
    <w:rsid w:val="60011320"/>
    <w:rsid w:val="60267D5D"/>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A0499E"/>
    <w:rsid w:val="68AE3670"/>
    <w:rsid w:val="68C332BA"/>
    <w:rsid w:val="68C708F2"/>
    <w:rsid w:val="68D56251"/>
    <w:rsid w:val="68EF5946"/>
    <w:rsid w:val="68F25DFA"/>
    <w:rsid w:val="68FF6567"/>
    <w:rsid w:val="693118AD"/>
    <w:rsid w:val="69603C4B"/>
    <w:rsid w:val="69614422"/>
    <w:rsid w:val="69683F1C"/>
    <w:rsid w:val="6986197E"/>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37324B"/>
    <w:rsid w:val="6F4B77AB"/>
    <w:rsid w:val="6F59783E"/>
    <w:rsid w:val="6F5A407F"/>
    <w:rsid w:val="6F9045BD"/>
    <w:rsid w:val="6F991282"/>
    <w:rsid w:val="6F9A4BFC"/>
    <w:rsid w:val="6FAD4095"/>
    <w:rsid w:val="6FB963FA"/>
    <w:rsid w:val="6FD071A2"/>
    <w:rsid w:val="6FD57D31"/>
    <w:rsid w:val="6FD969D9"/>
    <w:rsid w:val="6FDF42CC"/>
    <w:rsid w:val="700A32D4"/>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4653BA"/>
    <w:rsid w:val="7A765EEC"/>
    <w:rsid w:val="7A773B5D"/>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er Char"/>
    <w:link w:val="18"/>
    <w:qFormat/>
    <w:uiPriority w:val="0"/>
    <w:rPr>
      <w:rFonts w:ascii="Arial" w:hAnsi="Arial" w:eastAsia="MS Mincho"/>
      <w:b/>
      <w:szCs w:val="24"/>
      <w:lang w:eastAsia="en-US"/>
    </w:rPr>
  </w:style>
  <w:style w:type="character" w:customStyle="1" w:styleId="35">
    <w:name w:val="Comment Subject Char"/>
    <w:link w:val="22"/>
    <w:semiHidden/>
    <w:qFormat/>
    <w:uiPriority w:val="99"/>
    <w:rPr>
      <w:b/>
      <w:bCs/>
    </w:rPr>
  </w:style>
  <w:style w:type="character" w:customStyle="1" w:styleId="36">
    <w:name w:val="Footnote Text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Caption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Comment Text Char"/>
    <w:basedOn w:val="26"/>
    <w:link w:val="14"/>
    <w:qFormat/>
    <w:uiPriority w:val="0"/>
  </w:style>
  <w:style w:type="character" w:customStyle="1" w:styleId="49">
    <w:name w:val="Body Text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Balloon Text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Document Map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Heading 3 Char"/>
    <w:link w:val="4"/>
    <w:qFormat/>
    <w:uiPriority w:val="9"/>
    <w:rPr>
      <w:b/>
      <w:bCs/>
      <w:sz w:val="32"/>
      <w:szCs w:val="32"/>
    </w:rPr>
  </w:style>
  <w:style w:type="character" w:customStyle="1" w:styleId="59">
    <w:name w:val="Heading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0" w:line="240" w:lineRule="auto"/>
    </w:pPr>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e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3C04B-F248-40CF-B3B7-96F973E4FF14}">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11194</Words>
  <Characters>63811</Characters>
  <Lines>531</Lines>
  <Paragraphs>149</Paragraphs>
  <TotalTime>1</TotalTime>
  <ScaleCrop>false</ScaleCrop>
  <LinksUpToDate>false</LinksUpToDate>
  <CharactersWithSpaces>74856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2021-01-18T09:29:00Z</dcterms:created>
  <dc:creator>ZTE</dc:creator>
  <cp:lastModifiedBy>yaoke1</cp:lastModifiedBy>
  <dcterms:modified xsi:type="dcterms:W3CDTF">2021-05-11T08:38:59Z</dcterms:modified>
  <dc:title>3GPP TSG-RAN WG1</dc:title>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